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6"/>
      </w:tblGrid>
      <w:tr w:rsidR="00085EF9" w:rsidRPr="000B01BF" w:rsidTr="00095562">
        <w:trPr>
          <w:trHeight w:val="2880"/>
          <w:jc w:val="center"/>
        </w:trPr>
        <w:tc>
          <w:tcPr>
            <w:tcW w:w="5000" w:type="pct"/>
          </w:tcPr>
          <w:p w:rsidR="00085EF9" w:rsidRPr="0010628B" w:rsidRDefault="00085EF9" w:rsidP="00095562">
            <w:pPr>
              <w:pStyle w:val="aff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0628B">
              <w:rPr>
                <w:rFonts w:ascii="Times New Roman" w:hAnsi="Times New Roman"/>
                <w:szCs w:val="28"/>
              </w:rPr>
              <w:t>Утверждено</w:t>
            </w:r>
            <w:r w:rsidRPr="0010628B">
              <w:rPr>
                <w:rFonts w:ascii="Times New Roman" w:hAnsi="Times New Roman"/>
              </w:rPr>
              <w:t xml:space="preserve"> решением </w:t>
            </w:r>
          </w:p>
          <w:p w:rsidR="00085EF9" w:rsidRPr="0010628B" w:rsidRDefault="00085EF9" w:rsidP="00095562">
            <w:pPr>
              <w:pStyle w:val="aff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0628B">
              <w:rPr>
                <w:rFonts w:ascii="Times New Roman" w:hAnsi="Times New Roman"/>
              </w:rPr>
              <w:t xml:space="preserve">Общего собрания членов </w:t>
            </w:r>
            <w:r w:rsidR="001A2A06">
              <w:rPr>
                <w:rFonts w:ascii="Times New Roman" w:hAnsi="Times New Roman"/>
              </w:rPr>
              <w:t>НП</w:t>
            </w:r>
            <w:r w:rsidRPr="0010628B">
              <w:rPr>
                <w:rFonts w:ascii="Times New Roman" w:hAnsi="Times New Roman"/>
              </w:rPr>
              <w:t xml:space="preserve"> СРО «ГС.П»,</w:t>
            </w:r>
          </w:p>
          <w:p w:rsidR="00085EF9" w:rsidRPr="0010628B" w:rsidRDefault="00085EF9" w:rsidP="00095562">
            <w:pPr>
              <w:pStyle w:val="aff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Pr="007F0F9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от «</w:t>
            </w:r>
            <w:r w:rsidR="00BB1E4C">
              <w:rPr>
                <w:rFonts w:ascii="Times New Roman" w:hAnsi="Times New Roman"/>
              </w:rPr>
              <w:t>25</w:t>
            </w:r>
            <w:r w:rsidRPr="0010628B">
              <w:rPr>
                <w:rFonts w:ascii="Times New Roman" w:hAnsi="Times New Roman"/>
              </w:rPr>
              <w:t xml:space="preserve">» </w:t>
            </w:r>
            <w:r w:rsidR="00884E02">
              <w:rPr>
                <w:rFonts w:ascii="Times New Roman" w:hAnsi="Times New Roman"/>
              </w:rPr>
              <w:t>мая</w:t>
            </w:r>
            <w:r w:rsidRPr="0010628B">
              <w:rPr>
                <w:rFonts w:ascii="Times New Roman" w:hAnsi="Times New Roman"/>
              </w:rPr>
              <w:t xml:space="preserve"> 2017 года</w:t>
            </w: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085EF9" w:rsidRPr="000B01BF" w:rsidTr="0009556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F03F1A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E1F5E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  <w:r w:rsidR="00F03F1A">
              <w:rPr>
                <w:rFonts w:ascii="Times New Roman" w:hAnsi="Times New Roman"/>
                <w:sz w:val="40"/>
                <w:szCs w:val="40"/>
              </w:rPr>
              <w:t xml:space="preserve">О ПРОВЕДЕНИИ САМОРЕГУЛИРУЕМОЙ ОРГАНИЗАЦИЕЙ </w:t>
            </w:r>
            <w:r w:rsidR="00F03F1A" w:rsidRPr="00085EF9">
              <w:rPr>
                <w:rFonts w:ascii="Times New Roman" w:hAnsi="Times New Roman"/>
                <w:sz w:val="40"/>
                <w:szCs w:val="40"/>
              </w:rPr>
              <w:t xml:space="preserve">АНАЛИЗА ДЕЯТЕЛЬНОСТИ СВОИХ ЧЛЕНОВ </w:t>
            </w:r>
          </w:p>
          <w:p w:rsidR="00085EF9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85EF9">
              <w:rPr>
                <w:rFonts w:ascii="Times New Roman" w:hAnsi="Times New Roman"/>
                <w:sz w:val="40"/>
                <w:szCs w:val="40"/>
              </w:rPr>
              <w:t>на основании информации, представляемой ими в форме отчетов</w:t>
            </w: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EF9" w:rsidRPr="000B01BF" w:rsidTr="0009556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085EF9" w:rsidRPr="000B01BF" w:rsidRDefault="00884E02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caps/>
                <w:noProof/>
              </w:rPr>
              <w:drawing>
                <wp:inline distT="0" distB="0" distL="0" distR="0">
                  <wp:extent cx="636270" cy="675640"/>
                  <wp:effectExtent l="0" t="0" r="0" b="0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085EF9" w:rsidRPr="000B01BF" w:rsidTr="00095562">
        <w:trPr>
          <w:trHeight w:val="360"/>
          <w:jc w:val="center"/>
        </w:trPr>
        <w:tc>
          <w:tcPr>
            <w:tcW w:w="5000" w:type="pct"/>
            <w:vAlign w:val="center"/>
          </w:tcPr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5EF9" w:rsidRPr="000B01BF" w:rsidTr="00095562">
        <w:trPr>
          <w:trHeight w:val="360"/>
          <w:jc w:val="center"/>
        </w:trPr>
        <w:tc>
          <w:tcPr>
            <w:tcW w:w="5000" w:type="pct"/>
            <w:vAlign w:val="center"/>
          </w:tcPr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B01BF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085EF9" w:rsidRPr="000B01BF" w:rsidTr="00095562">
        <w:trPr>
          <w:trHeight w:val="360"/>
          <w:jc w:val="center"/>
        </w:trPr>
        <w:tc>
          <w:tcPr>
            <w:tcW w:w="5000" w:type="pct"/>
            <w:vAlign w:val="center"/>
          </w:tcPr>
          <w:p w:rsidR="00085EF9" w:rsidRPr="000B01BF" w:rsidRDefault="00085EF9" w:rsidP="00095562">
            <w:pPr>
              <w:pStyle w:val="aff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B01B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0B01BF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5C6E3B" w:rsidRPr="00085EF9" w:rsidRDefault="002664DD" w:rsidP="00085EF9">
      <w:pPr>
        <w:pStyle w:val="aff3"/>
      </w:pPr>
      <w:bookmarkStart w:id="1" w:name="_Toc460683467"/>
      <w:r>
        <w:rPr>
          <w:sz w:val="24"/>
          <w:szCs w:val="24"/>
        </w:rPr>
        <w:br w:type="page"/>
      </w:r>
      <w:r w:rsidR="00085EF9" w:rsidRPr="00085EF9">
        <w:lastRenderedPageBreak/>
        <w:t>1. ОБЩИЕ ПОЛОЖЕНИЯ</w:t>
      </w:r>
    </w:p>
    <w:p w:rsidR="005C6E3B" w:rsidRPr="006B2080" w:rsidRDefault="00B523D2" w:rsidP="001A2A06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</w:t>
      </w:r>
      <w:r w:rsidR="00085EF9" w:rsidRPr="00051332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о </w:t>
      </w:r>
      <w:r w:rsidR="00085EF9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проведении Ассоциацией С</w:t>
      </w:r>
      <w:r w:rsidR="00085EF9" w:rsidRPr="00051332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аморегулируемая организация «</w:t>
      </w:r>
      <w:r w:rsidR="00085EF9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Газораспределительная система. П</w:t>
      </w:r>
      <w:r w:rsidR="00085EF9" w:rsidRPr="00051332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роектирование» анализа деятельности своих</w:t>
      </w:r>
      <w:r w:rsidR="00085EF9" w:rsidRPr="00051332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</w:t>
      </w:r>
      <w:r w:rsidR="00085EF9" w:rsidRPr="00051332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членов на основании информации, представляемой ими в форме отчетов</w:t>
      </w:r>
      <w:r w:rsidR="00051332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,</w:t>
      </w:r>
      <w:r w:rsidR="0005133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6B208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2007 г</w:t>
        </w:r>
      </w:smartTag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№ 315-ФЗ «О саморегулируемых организациях», Уставом </w:t>
      </w:r>
      <w:r w:rsidR="00AA7F60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внутренними документами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C6E3B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  <w:r w:rsidR="00F03F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3F1A" w:rsidRPr="00B71CC5">
        <w:rPr>
          <w:rFonts w:ascii="Times New Roman" w:hAnsi="Times New Roman" w:cs="Times New Roman"/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="005C6E3B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6B2080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настоящего Положения направлены на обеспечение формирования обобщенных сведений о 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деятельности 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член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актуализацию с целью осуществления функций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6B2080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 настоящего Положения обязательны для соблюдения всеми членами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664DD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органами управления, специализированными органами</w:t>
      </w:r>
      <w:r w:rsidR="00282D05" w:rsidRPr="002D55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64DD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работниками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6B2080" w:rsidRDefault="002A0665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анализ деятельности своих членов на основании 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информации, предоставляемой член</w:t>
      </w:r>
      <w:r w:rsidR="002664DD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 в виде 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отчетов</w:t>
      </w:r>
      <w:r w:rsidR="002664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предыдущий календарный год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риложением 1 к настоящему Положению, а также на основании иной информации, получаемой 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результате ежегодных плановых проверок 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членов 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источников достоверной информации. </w:t>
      </w:r>
    </w:p>
    <w:p w:rsidR="00282D05" w:rsidRPr="006B2080" w:rsidRDefault="00B523D2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Источниками достоверной информации, используемой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</w:t>
      </w:r>
      <w:r w:rsidR="002664D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анализа деятельности </w:t>
      </w:r>
      <w:r w:rsidR="002664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своих 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членов, является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82D05" w:rsidRPr="006B2080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и документы, установленные 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риложением 1 к настоящему Положению; </w:t>
      </w:r>
    </w:p>
    <w:p w:rsidR="00282D05" w:rsidRPr="006B2080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 члена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82D0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Интернет; </w:t>
      </w:r>
    </w:p>
    <w:p w:rsidR="00282D05" w:rsidRPr="006B2080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судебные решения;</w:t>
      </w:r>
      <w:r w:rsidR="00B523D2" w:rsidRPr="006B2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2D05" w:rsidRPr="006B2080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6B2080">
        <w:rPr>
          <w:rFonts w:ascii="Times New Roman" w:hAnsi="Times New Roman" w:cs="Times New Roman"/>
          <w:color w:val="auto"/>
          <w:sz w:val="28"/>
          <w:szCs w:val="28"/>
        </w:rPr>
        <w:t xml:space="preserve">реестры и информационные базы данных государственных и муниципальных органов власти; </w:t>
      </w:r>
    </w:p>
    <w:p w:rsidR="00B523D2" w:rsidRPr="006B2080" w:rsidRDefault="00085EF9" w:rsidP="00085EF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и </w:t>
      </w:r>
      <w:r w:rsidR="00B523D2" w:rsidRPr="006B2080">
        <w:rPr>
          <w:rFonts w:ascii="Times New Roman" w:hAnsi="Times New Roman" w:cs="Times New Roman"/>
          <w:color w:val="auto"/>
          <w:sz w:val="28"/>
          <w:szCs w:val="28"/>
        </w:rPr>
        <w:t xml:space="preserve">сайты 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B523D2" w:rsidRPr="006B2080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, лица, ответственного за эксплуатацию здания или сооружения.</w:t>
      </w:r>
    </w:p>
    <w:p w:rsidR="00B523D2" w:rsidRPr="006B2080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B058B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представлять отчеты в порядке, предусмотренном настоящим Положением.</w:t>
      </w:r>
    </w:p>
    <w:p w:rsidR="00B523D2" w:rsidRPr="006B2080" w:rsidRDefault="00B523D2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Непредставление отчета, либо его представление с нарушением срока, установленного настоящим Положением, либо представление недостоверной 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</w:t>
      </w:r>
      <w:r w:rsidR="002664DD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формации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основанием для привлечения члена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="008B058B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дисциплинарной ответственности в соответствии с внутренними документами </w:t>
      </w:r>
      <w:r w:rsid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B058B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664DD" w:rsidRDefault="002A0665" w:rsidP="00085EF9">
      <w:pPr>
        <w:numPr>
          <w:ilvl w:val="1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8B058B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несет ответственности за достоверность сведений, представленных членами 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B058B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bookmarkStart w:id="2" w:name="_Toc460683471"/>
      <w:r w:rsidR="002664D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2664DD" w:rsidRDefault="00085EF9" w:rsidP="00085EF9">
      <w:pPr>
        <w:pStyle w:val="aff3"/>
        <w:rPr>
          <w:rFonts w:eastAsia="Times New Roman"/>
        </w:rPr>
      </w:pPr>
      <w:r w:rsidRPr="006B2080">
        <w:t xml:space="preserve">2. ПОРЯДОК ПРЕДОСТАВЛЕНИЯ ОТЧЕТОВ ЧЛЕНАМИ </w:t>
      </w:r>
      <w:bookmarkEnd w:id="2"/>
      <w:r w:rsidRPr="006B2080">
        <w:t>АССОЦИАЦИИ СРО «ГС.П»</w:t>
      </w:r>
    </w:p>
    <w:p w:rsidR="00B523D2" w:rsidRPr="006B2080" w:rsidRDefault="00B523D2" w:rsidP="00085EF9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отчета членов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80EE6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включаются сведения, указанные в </w:t>
      </w:r>
      <w:r w:rsidR="00580EE6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риложении 1 к настоящему Положению.</w:t>
      </w:r>
    </w:p>
    <w:p w:rsidR="00B523D2" w:rsidRPr="006B2080" w:rsidRDefault="00B523D2" w:rsidP="00085EF9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80EE6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 ежегодно предоставлять в </w:t>
      </w:r>
      <w:r w:rsid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580EE6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 за прошедший календарный год в срок до </w:t>
      </w:r>
      <w:r w:rsidR="00997369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марта календарного года, следующего за отчетным. </w:t>
      </w:r>
    </w:p>
    <w:p w:rsidR="002664DD" w:rsidRPr="00085EF9" w:rsidRDefault="00B523D2" w:rsidP="00085EF9">
      <w:pPr>
        <w:numPr>
          <w:ilvl w:val="1"/>
          <w:numId w:val="3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EF9">
        <w:rPr>
          <w:rFonts w:ascii="Times New Roman" w:eastAsia="Times New Roman" w:hAnsi="Times New Roman" w:cs="Times New Roman"/>
          <w:sz w:val="28"/>
          <w:szCs w:val="28"/>
        </w:rPr>
        <w:t xml:space="preserve">После приема юридического лица или индивидуального предпринимателя в члены </w:t>
      </w:r>
      <w:r w:rsidR="002A0665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80EE6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первичный анализ его деятельности. Вновь принятый член </w:t>
      </w:r>
      <w:r w:rsidR="002A0665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580EE6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должен предоставить отчет в срок </w:t>
      </w:r>
      <w:r w:rsidR="00DA00BD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не более 30</w:t>
      </w: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дней с даты вступления в силу решения о приеме его в </w:t>
      </w:r>
      <w:r w:rsidR="002A0665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580EE6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Start w:id="3" w:name="_Toc460683472"/>
    </w:p>
    <w:p w:rsidR="00B523D2" w:rsidRPr="002664DD" w:rsidRDefault="00085EF9" w:rsidP="00085EF9">
      <w:pPr>
        <w:pStyle w:val="aff3"/>
        <w:rPr>
          <w:rFonts w:eastAsia="Times New Roman"/>
        </w:rPr>
      </w:pPr>
      <w:r>
        <w:t xml:space="preserve">3. </w:t>
      </w:r>
      <w:r w:rsidRPr="002664DD">
        <w:t xml:space="preserve">СПОСОБЫ ПОЛУЧЕНИЯ, ОБРАБОТКИ, ХРАНЕНИЯ ИНФОРМАЦИИ, СОДЕРЖАЩЕЙСЯ В ОТЧЕТАХ ЧЛЕНОВ АССОЦИАЦИИ СРО «ГС.П» И ИСПОЛЬЗУЕМОЙ ДЛЯ АНАЛИЗА ДЕЯТЕЛЬНОСТИ ЕГО ЧЛЕНОВ </w:t>
      </w:r>
      <w:bookmarkEnd w:id="3"/>
    </w:p>
    <w:p w:rsidR="00B523D2" w:rsidRPr="006B2080" w:rsidRDefault="002A0665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AC2BBB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получает отчеты о деятельности своих членов и документы, установленные </w:t>
      </w:r>
      <w:r w:rsidR="00AC2BBB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риложением 1 к настоящему Положению, непосредственно от руководителя организации (лично от индивидуального предпринимателя), уполномоченного лица, курьера, почтовым отправлением, электронной почтой и иными способами.</w:t>
      </w:r>
    </w:p>
    <w:p w:rsidR="00DD348F" w:rsidRPr="006B2080" w:rsidRDefault="00DD348F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Передача документов, установленны</w:t>
      </w:r>
      <w:r w:rsidR="002664DD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Приложением 1 к настоящему Положению, в форме электронного документа (пакета документов), подписанного усиленной квалифицированной электронной подписью, допускается в случае использования в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 соответствующего программного обеспечения, позволяющего в соответствии с законодательством Российской Федерации осуществлять работу с такими документами.</w:t>
      </w:r>
    </w:p>
    <w:p w:rsidR="00085EF9" w:rsidRDefault="00B523D2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и его разделы, установленные приложением 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</w:t>
      </w:r>
      <w:r w:rsidR="002F1148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печатью юридического лица или индивидуального предпринимателя</w:t>
      </w:r>
      <w:r w:rsidR="002664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 наличии), если иное не установлено в П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риложении 1 к настоящему Положению.</w:t>
      </w:r>
    </w:p>
    <w:p w:rsidR="00085EF9" w:rsidRDefault="00B523D2" w:rsidP="00A5249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передачи отчета и документов, указанных в </w:t>
      </w:r>
      <w:r w:rsidR="002664DD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риложении 1 к настоящему Положению, в форме электронны</w:t>
      </w:r>
      <w:r w:rsidR="00193239">
        <w:rPr>
          <w:rFonts w:ascii="Times New Roman" w:eastAsia="Times New Roman" w:hAnsi="Times New Roman" w:cs="Times New Roman"/>
          <w:color w:val="auto"/>
          <w:sz w:val="28"/>
          <w:szCs w:val="28"/>
        </w:rPr>
        <w:t>х документов в соответствии с п.</w:t>
      </w: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3.</w:t>
      </w:r>
      <w:r w:rsidR="00DF06E6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085EF9" w:rsidRDefault="00B523D2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2A0665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DF06E6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97369" w:rsidRPr="00085EF9" w:rsidRDefault="00B523D2" w:rsidP="00085EF9">
      <w:pPr>
        <w:numPr>
          <w:ilvl w:val="1"/>
          <w:numId w:val="4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2A0665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DF06E6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работникам и самой </w:t>
      </w:r>
      <w:r w:rsidR="002A0665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DF06E6"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085E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создания предпосылки для причинения такого вреда и (или) ущерба.</w:t>
      </w:r>
      <w:bookmarkStart w:id="4" w:name="_Toc460683474"/>
    </w:p>
    <w:p w:rsidR="00B523D2" w:rsidRPr="00997369" w:rsidRDefault="00085EF9" w:rsidP="00085EF9">
      <w:pPr>
        <w:pStyle w:val="aff3"/>
        <w:rPr>
          <w:rFonts w:ascii="Arial" w:hAnsi="Arial"/>
          <w:sz w:val="22"/>
          <w:szCs w:val="22"/>
        </w:rPr>
      </w:pPr>
      <w:r w:rsidRPr="00997369">
        <w:t>4. РЕЗУЛЬТАТЫ АНАЛИЗА ДЕЯТЕЛЬНОСТИ ЧЛЕНОВ АССОЦИАЦИИ СРО «ГС.П» И ИХ ПРИМЕНЕНИЕ</w:t>
      </w:r>
      <w:bookmarkEnd w:id="4"/>
    </w:p>
    <w:p w:rsidR="00B523D2" w:rsidRPr="006B2080" w:rsidRDefault="002A0665" w:rsidP="00A5249D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0303A7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всей получаемой информации осуществляет анализ деятельности членов 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внутренними документами 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="00B523D2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193239" w:rsidRDefault="00B523D2" w:rsidP="00A5249D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По окончанию календарного года</w:t>
      </w:r>
      <w:r w:rsidR="00997369">
        <w:rPr>
          <w:rFonts w:ascii="Times New Roman" w:eastAsia="Times New Roman" w:hAnsi="Times New Roman" w:cs="Times New Roman"/>
          <w:color w:val="auto"/>
          <w:sz w:val="28"/>
          <w:szCs w:val="28"/>
        </w:rPr>
        <w:t>, но не ранее 01 марта следующего года,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303A7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</w:t>
      </w:r>
      <w:r w:rsidR="002A0665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6B2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 обобщенный анализ деятельности членов и представляет результат анализа в виде отчета </w:t>
      </w:r>
      <w:r w:rsidR="002A0665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деятельности ее членов на рассмотрение в </w:t>
      </w:r>
      <w:r w:rsidR="000303A7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</w:t>
      </w:r>
      <w:r w:rsidR="002A0665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193239" w:rsidRDefault="00B523D2" w:rsidP="00A5249D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</w:t>
      </w:r>
      <w:r w:rsidR="002A0665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деятельности ее членов размещается на официальном сайте </w:t>
      </w:r>
      <w:r w:rsidR="002A0665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ежегодно в срок до </w:t>
      </w:r>
      <w:r w:rsidR="00997369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июня и доводится до сведения членов </w:t>
      </w:r>
      <w:r w:rsidR="002A0665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0303A7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ежегодных Общих собраниях</w:t>
      </w:r>
      <w:r w:rsidR="00997369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членов </w:t>
      </w:r>
      <w:r w:rsidR="00CC3985"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 СРО «ГС.П»</w:t>
      </w:r>
      <w:r w:rsidRPr="0019323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2F1148" w:rsidRDefault="00B523D2" w:rsidP="00A5249D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обобщенного анализа деятельности членов </w:t>
      </w:r>
      <w:r w:rsidR="002A0665"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</w:p>
    <w:p w:rsidR="00B523D2" w:rsidRPr="002F1148" w:rsidRDefault="00B523D2" w:rsidP="00A5249D">
      <w:pPr>
        <w:numPr>
          <w:ilvl w:val="1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обобщенного анализа могут формулироваться выводы о состоянии деятельности членов </w:t>
      </w:r>
      <w:r w:rsidR="002A0665"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2A0665"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2A0665"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r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97369" w:rsidRDefault="00B523D2" w:rsidP="00A5249D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>4.6. Результаты анализа могут применять</w:t>
      </w:r>
      <w:r w:rsidR="00997369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оценки деловой репутации члена </w:t>
      </w:r>
      <w:r w:rsidR="002A0665"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7948" w:rsidRPr="002F11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«ГС.П»</w:t>
      </w:r>
      <w:bookmarkStart w:id="5" w:name="_Toc460683475"/>
      <w:r w:rsidR="0099736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23D2" w:rsidRPr="00997369" w:rsidRDefault="00085EF9" w:rsidP="00085EF9">
      <w:pPr>
        <w:pStyle w:val="aff3"/>
        <w:rPr>
          <w:rFonts w:eastAsia="Times New Roman"/>
          <w:color w:val="auto"/>
        </w:rPr>
      </w:pPr>
      <w:r>
        <w:t>5</w:t>
      </w:r>
      <w:r w:rsidRPr="00F667C0">
        <w:t>. ЗАКЛЮЧИТЕЛЬНЫЕ ПОЛОЖЕНИЯ</w:t>
      </w:r>
      <w:bookmarkEnd w:id="5"/>
    </w:p>
    <w:p w:rsidR="00B523D2" w:rsidRPr="00A5249D" w:rsidRDefault="00B523D2" w:rsidP="00193239">
      <w:pPr>
        <w:numPr>
          <w:ilvl w:val="0"/>
          <w:numId w:val="43"/>
        </w:numPr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="002A0665" w:rsidRPr="00A5249D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7948" w:rsidRPr="00A5249D">
        <w:rPr>
          <w:rFonts w:ascii="Times New Roman" w:eastAsia="Times New Roman" w:hAnsi="Times New Roman" w:cs="Times New Roman"/>
          <w:sz w:val="28"/>
          <w:szCs w:val="28"/>
        </w:rPr>
        <w:t xml:space="preserve"> СРО «ГС.П»</w:t>
      </w:r>
      <w:r w:rsidRPr="00A5249D">
        <w:rPr>
          <w:rFonts w:ascii="Times New Roman" w:eastAsia="Times New Roman" w:hAnsi="Times New Roman" w:cs="Times New Roman"/>
          <w:sz w:val="28"/>
          <w:szCs w:val="28"/>
        </w:rPr>
        <w:t xml:space="preserve">. В случае, если законами и иными нормативными актами Российской Федерации, а также Уставом </w:t>
      </w:r>
      <w:r w:rsidR="002A0665" w:rsidRPr="00A5249D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7948" w:rsidRPr="00A5249D">
        <w:rPr>
          <w:rFonts w:ascii="Times New Roman" w:eastAsia="Times New Roman" w:hAnsi="Times New Roman" w:cs="Times New Roman"/>
          <w:sz w:val="28"/>
          <w:szCs w:val="28"/>
        </w:rPr>
        <w:t xml:space="preserve"> СРО «ГС.П»</w:t>
      </w:r>
      <w:r w:rsidRPr="00A5249D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997369" w:rsidRPr="00A5249D">
        <w:rPr>
          <w:rFonts w:ascii="Times New Roman" w:eastAsia="Times New Roman" w:hAnsi="Times New Roman" w:cs="Times New Roman"/>
          <w:sz w:val="28"/>
          <w:szCs w:val="28"/>
        </w:rPr>
        <w:t>Ассоциации СРО «ГС.П»</w:t>
      </w:r>
      <w:r w:rsidRPr="00A52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EF9" w:rsidRDefault="002F1148" w:rsidP="00193239">
      <w:pPr>
        <w:numPr>
          <w:ilvl w:val="0"/>
          <w:numId w:val="43"/>
        </w:numPr>
        <w:tabs>
          <w:tab w:val="left" w:pos="1134"/>
        </w:tabs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249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Федерации.</w:t>
      </w:r>
    </w:p>
    <w:p w:rsidR="00193239" w:rsidRDefault="00085EF9" w:rsidP="00193239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br w:type="page"/>
      </w:r>
      <w:r w:rsidR="00B523D2" w:rsidRPr="00F667C0">
        <w:rPr>
          <w:rFonts w:ascii="Times New Roman" w:hAnsi="Times New Roman" w:cs="Times New Roman"/>
          <w:sz w:val="28"/>
          <w:szCs w:val="28"/>
        </w:rPr>
        <w:t>П</w:t>
      </w:r>
      <w:r w:rsidR="00E27B15">
        <w:rPr>
          <w:rFonts w:ascii="Times New Roman" w:hAnsi="Times New Roman" w:cs="Times New Roman"/>
          <w:sz w:val="28"/>
          <w:szCs w:val="28"/>
        </w:rPr>
        <w:t>риложение</w:t>
      </w:r>
      <w:r w:rsidR="00B523D2" w:rsidRPr="00F667C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93239" w:rsidRDefault="00B523D2" w:rsidP="00193239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67C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67C0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7C0">
        <w:rPr>
          <w:rFonts w:ascii="Times New Roman" w:hAnsi="Times New Roman" w:cs="Times New Roman"/>
          <w:sz w:val="28"/>
          <w:szCs w:val="28"/>
        </w:rPr>
        <w:t xml:space="preserve">о </w:t>
      </w:r>
      <w:r w:rsidRPr="002A066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проведении </w:t>
      </w:r>
      <w:r w:rsidR="002A0665" w:rsidRPr="002A0665">
        <w:rPr>
          <w:rFonts w:ascii="Times New Roman" w:hAnsi="Times New Roman" w:cs="Times New Roman"/>
          <w:color w:val="auto"/>
          <w:sz w:val="28"/>
          <w:szCs w:val="28"/>
        </w:rPr>
        <w:t>Ассоциацией</w:t>
      </w:r>
      <w:r w:rsidR="00E27B15" w:rsidRPr="002A06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3239">
        <w:rPr>
          <w:rFonts w:ascii="Times New Roman" w:hAnsi="Times New Roman" w:cs="Times New Roman"/>
          <w:color w:val="auto"/>
          <w:sz w:val="28"/>
          <w:szCs w:val="28"/>
        </w:rPr>
        <w:t xml:space="preserve">СРО «ГС.П» </w:t>
      </w:r>
      <w:r w:rsidRPr="002A0665">
        <w:rPr>
          <w:rFonts w:ascii="Times New Roman" w:hAnsi="Times New Roman" w:cs="Times New Roman"/>
          <w:color w:val="auto"/>
          <w:sz w:val="28"/>
          <w:szCs w:val="28"/>
        </w:rPr>
        <w:t>анализа деятельности своих членов на основании информации,</w:t>
      </w:r>
      <w:r w:rsidR="00997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3D2" w:rsidRPr="00085EF9" w:rsidRDefault="00B523D2" w:rsidP="00193239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665">
        <w:rPr>
          <w:rFonts w:ascii="Times New Roman" w:hAnsi="Times New Roman" w:cs="Times New Roman"/>
          <w:color w:val="auto"/>
          <w:sz w:val="28"/>
          <w:szCs w:val="28"/>
        </w:rPr>
        <w:t>представляемой ими в форме отчетов</w:t>
      </w:r>
    </w:p>
    <w:p w:rsidR="00B523D2" w:rsidRPr="002A0665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A066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523D2" w:rsidRPr="002A0665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A06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Отчет о деятельности члена </w:t>
      </w:r>
      <w:r w:rsidR="00193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Ассоциации</w:t>
      </w:r>
      <w:r w:rsidR="00193239" w:rsidRPr="00193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СРО «ГС.П»</w:t>
      </w:r>
    </w:p>
    <w:p w:rsidR="00B523D2" w:rsidRPr="002A0665" w:rsidRDefault="00B523D2" w:rsidP="00085EF9">
      <w:pPr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2A06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B523D2" w:rsidRPr="002A0665" w:rsidRDefault="00B523D2" w:rsidP="00085EF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523D2" w:rsidRPr="002A0665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Раздел № 1</w:t>
      </w:r>
    </w:p>
    <w:p w:rsidR="00B523D2" w:rsidRPr="002A0665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 составе Отчета о деятельности члена </w:t>
      </w:r>
      <w:r w:rsidR="002A0665"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AA7948"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2A0665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23D2" w:rsidRPr="002A0665" w:rsidRDefault="00B523D2" w:rsidP="00085EF9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:rsidR="00B523D2" w:rsidRPr="002A0665" w:rsidRDefault="00B523D2" w:rsidP="00085EF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23D2" w:rsidRPr="00A67D48" w:rsidRDefault="00B523D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  <w:r w:rsidR="0019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ИНН, КПП, дата постановки на учет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AA7948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</w:t>
            </w:r>
            <w:r w:rsidR="00B523D2"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23D2"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нахождения и адрес юридического лица /</w:t>
            </w:r>
            <w:r w:rsidR="0019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3D2"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  <w:r w:rsidR="0019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  <w:r w:rsidR="0019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  <w:r w:rsidR="0019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  <w:r w:rsidR="0019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spacing w:line="240" w:lineRule="auto"/>
              <w:ind w:left="2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  <w:r w:rsidR="0019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C5093B" w:rsidRPr="00A67D48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выполняющего подготовку проектной документации</w:t>
            </w:r>
          </w:p>
          <w:p w:rsidR="00AA7948" w:rsidRPr="00A67D48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AA7948" w:rsidRPr="00A67D48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</w:t>
            </w:r>
            <w:r w:rsidR="00C5093B" w:rsidRPr="00A6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по договорам, заключаемым с использованием конкурентных способов заключения договоров</w:t>
            </w:r>
          </w:p>
          <w:p w:rsidR="00AA7948" w:rsidRPr="00A67D48" w:rsidRDefault="007D3D73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</w:t>
            </w:r>
            <w:r w:rsidR="00AA7948" w:rsidRPr="00A67D48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подряда с застройщиком, техническим заказчиком, лицом, ответственным за эксплуатацию здания, сооружения, региональным оператором</w:t>
            </w:r>
          </w:p>
          <w:p w:rsidR="00AA7948" w:rsidRPr="00A67D48" w:rsidRDefault="00AA7948" w:rsidP="00193239">
            <w:pPr>
              <w:numPr>
                <w:ilvl w:val="0"/>
                <w:numId w:val="36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="00C5093B" w:rsidRPr="00A67D48">
              <w:rPr>
                <w:rFonts w:ascii="Times New Roman" w:hAnsi="Times New Roman" w:cs="Times New Roman"/>
                <w:sz w:val="24"/>
                <w:szCs w:val="24"/>
              </w:rPr>
              <w:t xml:space="preserve">указать) 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проектирования</w:t>
            </w:r>
          </w:p>
          <w:p w:rsidR="00B523D2" w:rsidRPr="00A67D48" w:rsidRDefault="00B523D2" w:rsidP="00085EF9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C5093B" w:rsidRPr="00A67D48" w:rsidRDefault="00C5093B" w:rsidP="00085EF9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93B" w:rsidRPr="00A67D48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жилых зданий и их комплексов</w:t>
            </w:r>
          </w:p>
          <w:p w:rsidR="00C5093B" w:rsidRPr="00A67D48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общественных зданий и сооружений и их комплексов</w:t>
            </w:r>
          </w:p>
          <w:p w:rsidR="00C5093B" w:rsidRPr="00A67D48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производственных зданий и сооружений и их комплексов</w:t>
            </w:r>
          </w:p>
          <w:p w:rsidR="00C5093B" w:rsidRPr="00A67D48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объектов транспортного назначения и их комплексов</w:t>
            </w:r>
          </w:p>
          <w:p w:rsidR="00C5093B" w:rsidRPr="00A67D48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гидротехнических сооружений и их комплексов</w:t>
            </w:r>
          </w:p>
          <w:p w:rsidR="00C5093B" w:rsidRPr="00A67D48" w:rsidRDefault="00193239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C5093B"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нефтегазового назначения и их комплексов</w:t>
            </w:r>
          </w:p>
          <w:p w:rsidR="00C5093B" w:rsidRPr="00A67D48" w:rsidRDefault="00C5093B" w:rsidP="00193239">
            <w:pPr>
              <w:numPr>
                <w:ilvl w:val="0"/>
                <w:numId w:val="44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  <w:r w:rsidR="001932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объекты)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  <w:r w:rsidR="001932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B523D2" w:rsidRPr="00A67D48" w:rsidRDefault="00B523D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23D2" w:rsidRPr="00A67D48" w:rsidRDefault="00B523D2" w:rsidP="0019323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3969" w:type="dxa"/>
            <w:shd w:val="clear" w:color="auto" w:fill="auto"/>
          </w:tcPr>
          <w:p w:rsidR="00B523D2" w:rsidRPr="00A67D48" w:rsidRDefault="00B523D2" w:rsidP="00085EF9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3B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C5093B" w:rsidRPr="00A67D48" w:rsidRDefault="00C5093B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5093B" w:rsidRPr="00067A12" w:rsidRDefault="00067A1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Договор страхования риска гражданской ответственности, которая может наступить в случае причинения вреда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(номер, дата заключения, срок действия, размер страховой суммы, наименование и контактные данные страховщика)</w:t>
            </w:r>
          </w:p>
        </w:tc>
        <w:tc>
          <w:tcPr>
            <w:tcW w:w="3969" w:type="dxa"/>
            <w:shd w:val="clear" w:color="auto" w:fill="auto"/>
          </w:tcPr>
          <w:p w:rsidR="00C5093B" w:rsidRPr="00A67D48" w:rsidRDefault="00C5093B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12" w:rsidRPr="00A67D48" w:rsidTr="00067A12">
        <w:trPr>
          <w:trHeight w:val="284"/>
        </w:trPr>
        <w:tc>
          <w:tcPr>
            <w:tcW w:w="817" w:type="dxa"/>
            <w:shd w:val="clear" w:color="auto" w:fill="auto"/>
          </w:tcPr>
          <w:p w:rsidR="00067A12" w:rsidRPr="00A67D48" w:rsidRDefault="00067A12" w:rsidP="00067A12">
            <w:pPr>
              <w:numPr>
                <w:ilvl w:val="0"/>
                <w:numId w:val="45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67A12" w:rsidRPr="00067A12" w:rsidRDefault="00067A12" w:rsidP="00067A1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Договор страхования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риска ответственности </w:t>
            </w:r>
            <w:r w:rsidRPr="0006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неисполнение или ненадлежащее исполнение обязательств по договорам подряда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(номер, дата заключения, срок действия, размер страховой суммы, наименование и контактные данные страховщика) (при наличии)</w:t>
            </w:r>
          </w:p>
        </w:tc>
        <w:tc>
          <w:tcPr>
            <w:tcW w:w="3969" w:type="dxa"/>
            <w:shd w:val="clear" w:color="auto" w:fill="auto"/>
          </w:tcPr>
          <w:p w:rsidR="00067A12" w:rsidRPr="00A67D48" w:rsidRDefault="00067A12" w:rsidP="00085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A12" w:rsidRDefault="00067A12" w:rsidP="0008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3D2" w:rsidRPr="00F667C0" w:rsidRDefault="00B523D2" w:rsidP="0008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067A12" w:rsidRDefault="00067A12" w:rsidP="00067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3D2" w:rsidRPr="00F667C0" w:rsidRDefault="00B523D2" w:rsidP="00067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______________________          _____________________        _________________</w:t>
      </w:r>
    </w:p>
    <w:p w:rsidR="00B523D2" w:rsidRPr="00F667C0" w:rsidRDefault="00B523D2" w:rsidP="0008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523D2" w:rsidRPr="00F667C0" w:rsidRDefault="00B523D2" w:rsidP="00085EF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B523D2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523D2" w:rsidRPr="006132C8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523D2" w:rsidRPr="00F667C0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523D2" w:rsidRPr="00AE0AF0" w:rsidRDefault="00B523D2" w:rsidP="00085EF9">
      <w:pPr>
        <w:spacing w:line="240" w:lineRule="auto"/>
        <w:jc w:val="right"/>
        <w:rPr>
          <w:bCs/>
          <w:i/>
          <w:sz w:val="24"/>
          <w:szCs w:val="24"/>
        </w:rPr>
      </w:pPr>
      <w:r>
        <w:br w:type="page"/>
      </w: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</w:p>
    <w:p w:rsidR="00B523D2" w:rsidRPr="002A0665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</w:t>
      </w:r>
      <w:r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деятельности члена </w:t>
      </w:r>
      <w:r w:rsidR="002A0665"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C5093B"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2A0665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523D2" w:rsidRPr="002A0665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</w:p>
    <w:p w:rsidR="00B523D2" w:rsidRPr="002A0665" w:rsidRDefault="00B523D2" w:rsidP="00085EF9">
      <w:pPr>
        <w:autoSpaceDE w:val="0"/>
        <w:autoSpaceDN w:val="0"/>
        <w:adjustRightInd w:val="0"/>
        <w:spacing w:line="240" w:lineRule="auto"/>
        <w:ind w:firstLine="540"/>
        <w:jc w:val="center"/>
        <w:rPr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совокупном размере обязательств по договорам </w:t>
      </w:r>
      <w:r w:rsidRPr="002A0665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подряда на </w:t>
      </w: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B523D2" w:rsidRPr="002A0665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2A0665" w:rsidRDefault="00B523D2" w:rsidP="00085EF9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Совокупный размер обязательств по договорам </w:t>
      </w:r>
      <w:r w:rsidRPr="002A0665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подряда на </w:t>
      </w:r>
      <w:r w:rsidR="00131C93" w:rsidRPr="002A0665">
        <w:rPr>
          <w:rStyle w:val="blk"/>
          <w:rFonts w:ascii="Times New Roman" w:hAnsi="Times New Roman" w:cs="Times New Roman"/>
          <w:color w:val="auto"/>
          <w:sz w:val="24"/>
          <w:szCs w:val="24"/>
        </w:rPr>
        <w:t>подготовку проектной документации</w:t>
      </w: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</w:t>
      </w:r>
      <w:r w:rsidR="00C5093B"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руб.</w:t>
      </w:r>
    </w:p>
    <w:p w:rsidR="00B523D2" w:rsidRPr="002A0665" w:rsidRDefault="00B523D2" w:rsidP="00085E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B523D2" w:rsidRPr="002A0665" w:rsidTr="00315DC6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2A0665" w:rsidRDefault="00B523D2" w:rsidP="00085EF9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№</w:t>
            </w:r>
          </w:p>
          <w:p w:rsidR="00B523D2" w:rsidRPr="002A0665" w:rsidRDefault="00B523D2" w:rsidP="00085EF9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2A0665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Договор:</w:t>
            </w:r>
          </w:p>
          <w:p w:rsidR="00B523D2" w:rsidRPr="002A0665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Дата, номер,</w:t>
            </w:r>
          </w:p>
          <w:p w:rsidR="00B523D2" w:rsidRPr="002A0665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2A0665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2A0665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объекта</w:t>
            </w:r>
          </w:p>
          <w:p w:rsidR="00B523D2" w:rsidRPr="002A0665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A0665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A0665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Стоимость работ по договору</w:t>
            </w:r>
          </w:p>
          <w:p w:rsidR="00B523D2" w:rsidRPr="002A0665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(в руб.)</w:t>
            </w:r>
          </w:p>
          <w:p w:rsidR="00B523D2" w:rsidRPr="002A0665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B523D2" w:rsidRPr="008F63AF" w:rsidTr="00315DC6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085EF9">
            <w:pPr>
              <w:spacing w:line="240" w:lineRule="auto"/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085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B523D2" w:rsidRPr="008F63AF" w:rsidRDefault="00B523D2" w:rsidP="00085EF9">
            <w:pPr>
              <w:spacing w:line="240" w:lineRule="auto"/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085EF9">
            <w:pPr>
              <w:spacing w:line="240" w:lineRule="auto"/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3D2" w:rsidRPr="008F63AF" w:rsidTr="00315DC6"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085EF9">
            <w:pPr>
              <w:spacing w:line="240" w:lineRule="auto"/>
              <w:ind w:left="200" w:right="140"/>
              <w:jc w:val="center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523D2" w:rsidRPr="008F63AF" w:rsidRDefault="00B523D2" w:rsidP="00085EF9">
            <w:pPr>
              <w:spacing w:line="240" w:lineRule="auto"/>
              <w:ind w:left="200" w:right="140"/>
              <w:rPr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523D2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3D2" w:rsidRDefault="00B523D2" w:rsidP="00085E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3D2" w:rsidRPr="00E10D00" w:rsidRDefault="00B523D2" w:rsidP="00085EF9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23D2" w:rsidRPr="00E10D00" w:rsidRDefault="00B523D2" w:rsidP="0008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085EF9">
      <w:pPr>
        <w:spacing w:line="240" w:lineRule="auto"/>
        <w:jc w:val="both"/>
        <w:rPr>
          <w:sz w:val="24"/>
          <w:szCs w:val="24"/>
        </w:rPr>
      </w:pPr>
    </w:p>
    <w:p w:rsidR="00B523D2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523D2" w:rsidRPr="00E10D00" w:rsidRDefault="00B523D2" w:rsidP="00085EF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523D2" w:rsidRPr="00E10D00" w:rsidRDefault="00B523D2" w:rsidP="00085EF9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42E4B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3D2" w:rsidRPr="00E10D00" w:rsidRDefault="00B523D2" w:rsidP="00085EF9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085EF9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Главный    </w:t>
      </w:r>
      <w:r w:rsidR="00542E4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542E4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</w:t>
      </w:r>
      <w:r w:rsidR="00542E4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523D2" w:rsidRPr="00E10D00" w:rsidRDefault="00B523D2" w:rsidP="00085EF9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</w:t>
      </w:r>
      <w:r w:rsidR="00542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E4B">
        <w:rPr>
          <w:rFonts w:ascii="Times New Roman" w:eastAsia="Times New Roman" w:hAnsi="Times New Roman" w:cs="Times New Roman"/>
          <w:sz w:val="24"/>
          <w:szCs w:val="24"/>
        </w:rPr>
        <w:t>(ФИО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B523D2" w:rsidRDefault="00B523D2" w:rsidP="00085EF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523D2" w:rsidRPr="00E10D00" w:rsidRDefault="00B523D2" w:rsidP="00085EF9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523D2" w:rsidRPr="00E10D00" w:rsidRDefault="00B523D2" w:rsidP="00085EF9">
      <w:pPr>
        <w:spacing w:line="240" w:lineRule="auto"/>
        <w:ind w:firstLine="700"/>
        <w:jc w:val="both"/>
        <w:rPr>
          <w:sz w:val="24"/>
          <w:szCs w:val="24"/>
        </w:rPr>
      </w:pPr>
    </w:p>
    <w:p w:rsidR="00B523D2" w:rsidRPr="00E10D00" w:rsidRDefault="00B523D2" w:rsidP="00085EF9">
      <w:pPr>
        <w:spacing w:line="240" w:lineRule="auto"/>
        <w:ind w:firstLine="700"/>
        <w:jc w:val="both"/>
        <w:rPr>
          <w:sz w:val="24"/>
          <w:szCs w:val="24"/>
        </w:rPr>
      </w:pPr>
    </w:p>
    <w:p w:rsidR="00B523D2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523D2" w:rsidRPr="006132C8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523D2" w:rsidRPr="00E10D00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523D2" w:rsidRDefault="00D51BE8" w:rsidP="00085EF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B523D2" w:rsidRDefault="00B523D2" w:rsidP="00085EF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3D2" w:rsidRDefault="00B523D2" w:rsidP="00085EF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3D2" w:rsidRPr="00AE0AF0" w:rsidRDefault="00B523D2" w:rsidP="00085EF9">
      <w:pPr>
        <w:spacing w:line="240" w:lineRule="auto"/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</w:p>
    <w:p w:rsidR="00B523D2" w:rsidRPr="002A0665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</w:t>
      </w:r>
      <w:r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деятельности члена </w:t>
      </w:r>
      <w:r w:rsidR="002A0665"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542E4B"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2A0665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523D2" w:rsidRPr="002A0665" w:rsidRDefault="00B523D2" w:rsidP="00085EF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B523D2" w:rsidRPr="002A0665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системе контроля качества работ и охране труда</w:t>
      </w:r>
    </w:p>
    <w:p w:rsidR="00B523D2" w:rsidRPr="002A0665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523D2" w:rsidRPr="002A0665" w:rsidRDefault="00B523D2" w:rsidP="00067A1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B523D2" w:rsidRPr="002A0665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523D2" w:rsidRPr="002A0665" w:rsidRDefault="00B523D2" w:rsidP="00067A1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A0665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523D2" w:rsidRPr="002A0665" w:rsidRDefault="00B523D2" w:rsidP="00085EF9">
      <w:pPr>
        <w:spacing w:line="240" w:lineRule="auto"/>
        <w:jc w:val="both"/>
        <w:rPr>
          <w:color w:val="auto"/>
          <w:sz w:val="24"/>
          <w:szCs w:val="24"/>
        </w:rPr>
      </w:pPr>
    </w:p>
    <w:p w:rsidR="00067A12" w:rsidRDefault="00067A12" w:rsidP="00067A1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:rsidR="00B523D2" w:rsidRPr="00067A12" w:rsidRDefault="00B523D2" w:rsidP="00067A1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B523D2" w:rsidRPr="00E10D00" w:rsidRDefault="00B523D2" w:rsidP="00085EF9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42E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42E4B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3D2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085EF9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523D2" w:rsidRPr="00E10D00" w:rsidRDefault="00B523D2" w:rsidP="00085EF9">
      <w:pPr>
        <w:spacing w:line="240" w:lineRule="auto"/>
        <w:ind w:firstLine="700"/>
        <w:jc w:val="both"/>
        <w:rPr>
          <w:sz w:val="24"/>
          <w:szCs w:val="24"/>
        </w:rPr>
      </w:pPr>
    </w:p>
    <w:p w:rsidR="00B523D2" w:rsidRPr="00E10D00" w:rsidRDefault="00B523D2" w:rsidP="00085EF9">
      <w:pPr>
        <w:spacing w:line="240" w:lineRule="auto"/>
        <w:ind w:firstLine="700"/>
        <w:jc w:val="both"/>
        <w:rPr>
          <w:sz w:val="24"/>
          <w:szCs w:val="24"/>
        </w:rPr>
      </w:pPr>
    </w:p>
    <w:p w:rsidR="00B523D2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523D2" w:rsidRPr="006132C8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523D2" w:rsidRPr="00E10D00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523D2" w:rsidRDefault="00D51BE8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315DC6" w:rsidRPr="00E524CA" w:rsidRDefault="00315DC6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5DC6" w:rsidRPr="009B60D6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DC6" w:rsidRPr="009B60D6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315DC6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DC6" w:rsidRPr="00C529F3" w:rsidRDefault="00315DC6" w:rsidP="00085E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2A0665" w:rsidRPr="002A066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542E4B" w:rsidRPr="002A0665">
        <w:rPr>
          <w:rFonts w:ascii="Times New Roman" w:eastAsia="Times New Roman" w:hAnsi="Times New Roman" w:cs="Times New Roman"/>
          <w:sz w:val="24"/>
          <w:szCs w:val="24"/>
        </w:rPr>
        <w:t xml:space="preserve"> СРО «ГС.П»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>в них</w:t>
      </w:r>
      <w:r w:rsidR="00542E4B">
        <w:rPr>
          <w:rFonts w:ascii="Times New Roman" w:eastAsia="Times New Roman" w:hAnsi="Times New Roman" w:cs="Times New Roman"/>
          <w:sz w:val="24"/>
          <w:szCs w:val="24"/>
        </w:rPr>
        <w:t xml:space="preserve"> или в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</w:p>
    <w:p w:rsidR="00B523D2" w:rsidRDefault="00B523D2" w:rsidP="00085EF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523D2" w:rsidSect="00CC3985">
          <w:footerReference w:type="default" r:id="rId10"/>
          <w:headerReference w:type="first" r:id="rId11"/>
          <w:pgSz w:w="11909" w:h="16834"/>
          <w:pgMar w:top="1134" w:right="851" w:bottom="993" w:left="1418" w:header="720" w:footer="720" w:gutter="0"/>
          <w:pgNumType w:start="0"/>
          <w:cols w:space="720"/>
          <w:titlePg/>
          <w:docGrid w:linePitch="299"/>
        </w:sectPr>
      </w:pPr>
    </w:p>
    <w:p w:rsidR="00B523D2" w:rsidRPr="00DB2B22" w:rsidRDefault="00B523D2" w:rsidP="00085EF9">
      <w:pPr>
        <w:spacing w:line="240" w:lineRule="auto"/>
        <w:jc w:val="right"/>
        <w:rPr>
          <w:bCs/>
          <w:i/>
          <w:sz w:val="24"/>
          <w:szCs w:val="24"/>
        </w:rPr>
      </w:pPr>
      <w:r w:rsidRPr="00DB2B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</w:p>
    <w:p w:rsidR="00B523D2" w:rsidRPr="002A0665" w:rsidRDefault="00B523D2" w:rsidP="00085EF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DB2B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</w:t>
      </w:r>
      <w:r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Отчета о деятельности члена </w:t>
      </w:r>
      <w:r w:rsidR="002A0665"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Ассоциации</w:t>
      </w:r>
      <w:r w:rsidR="00542E4B"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СРО «ГС.П»</w:t>
      </w:r>
    </w:p>
    <w:p w:rsidR="00B523D2" w:rsidRPr="002A0665" w:rsidRDefault="00B523D2" w:rsidP="00085EF9">
      <w:pPr>
        <w:spacing w:line="240" w:lineRule="auto"/>
        <w:rPr>
          <w:color w:val="auto"/>
          <w:sz w:val="24"/>
          <w:szCs w:val="24"/>
        </w:rPr>
      </w:pPr>
    </w:p>
    <w:p w:rsidR="00B523D2" w:rsidRPr="002A0665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члена </w:t>
      </w:r>
      <w:r w:rsidR="002A0665"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Ассоциации</w:t>
      </w:r>
      <w:r w:rsidR="00542E4B"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СРО «ГС.П»</w:t>
      </w: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 рассмотрении судебных </w:t>
      </w:r>
      <w:r w:rsidR="00315DC6"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гражданско-правовых </w:t>
      </w: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споров </w:t>
      </w:r>
    </w:p>
    <w:p w:rsidR="00B523D2" w:rsidRPr="002A0665" w:rsidRDefault="00B523D2" w:rsidP="00085EF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договорам </w:t>
      </w:r>
      <w:r w:rsidRPr="002A0665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подряда на </w:t>
      </w:r>
      <w:r w:rsidR="00315DC6" w:rsidRPr="002A06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2A0665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B523D2" w:rsidRPr="002A0665" w:rsidRDefault="00B523D2" w:rsidP="00085EF9">
      <w:pPr>
        <w:spacing w:line="240" w:lineRule="auto"/>
        <w:jc w:val="center"/>
        <w:rPr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:rsidR="00B523D2" w:rsidRPr="002A0665" w:rsidRDefault="00B523D2" w:rsidP="00085EF9">
      <w:pPr>
        <w:spacing w:line="240" w:lineRule="auto"/>
        <w:rPr>
          <w:color w:val="auto"/>
          <w:sz w:val="24"/>
          <w:szCs w:val="24"/>
        </w:rPr>
      </w:pPr>
    </w:p>
    <w:p w:rsidR="00B523D2" w:rsidRPr="002A0665" w:rsidRDefault="00B523D2" w:rsidP="00085EF9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2A0665">
        <w:rPr>
          <w:rStyle w:val="blk"/>
          <w:rFonts w:ascii="Times New Roman" w:hAnsi="Times New Roman" w:cs="Times New Roman"/>
          <w:color w:val="auto"/>
          <w:sz w:val="24"/>
          <w:szCs w:val="24"/>
        </w:rPr>
        <w:t xml:space="preserve">подряда на </w:t>
      </w:r>
      <w:r w:rsidR="00315DC6" w:rsidRPr="002A066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подготовку проектной документации</w:t>
      </w:r>
      <w:r w:rsidRPr="002A0665">
        <w:rPr>
          <w:rStyle w:val="blk"/>
          <w:rFonts w:ascii="Times New Roman" w:hAnsi="Times New Roman" w:cs="Times New Roman"/>
          <w:color w:val="auto"/>
          <w:sz w:val="24"/>
          <w:szCs w:val="24"/>
        </w:rPr>
        <w:t>,</w:t>
      </w: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заключенным с использованием конкурентных способов заключения</w:t>
      </w:r>
      <w:r w:rsidR="00AF0C69"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</w:t>
      </w:r>
      <w:r w:rsidRPr="002A0665">
        <w:rPr>
          <w:rStyle w:val="bl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  (</w:t>
      </w:r>
      <w:r w:rsidRPr="002A066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>)*.</w:t>
      </w:r>
    </w:p>
    <w:p w:rsidR="00B523D2" w:rsidRPr="002A0665" w:rsidRDefault="00B523D2" w:rsidP="00085EF9">
      <w:pPr>
        <w:spacing w:line="240" w:lineRule="auto"/>
        <w:rPr>
          <w:color w:val="auto"/>
        </w:rPr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771"/>
        <w:gridCol w:w="3261"/>
        <w:gridCol w:w="4110"/>
      </w:tblGrid>
      <w:tr w:rsidR="00B523D2" w:rsidRPr="002A0665" w:rsidTr="007D3D7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A0665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A0665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A0665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A0665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B523D2" w:rsidRPr="002A0665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B523D2" w:rsidRPr="002A0665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A0665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A0665" w:rsidRDefault="00B523D2" w:rsidP="00085EF9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A066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</w:t>
            </w:r>
          </w:p>
        </w:tc>
      </w:tr>
      <w:tr w:rsidR="00B523D2" w:rsidRPr="00757728" w:rsidTr="007D3D7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085E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085EF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085EF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085EF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085EF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085EF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23D2" w:rsidRDefault="00B523D2" w:rsidP="00085E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3D2" w:rsidRPr="00E10D00" w:rsidRDefault="00B523D2" w:rsidP="0008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Default="00B523D2" w:rsidP="00085EF9">
      <w:pPr>
        <w:spacing w:line="240" w:lineRule="auto"/>
      </w:pPr>
    </w:p>
    <w:p w:rsidR="00B523D2" w:rsidRPr="00757728" w:rsidRDefault="00B523D2" w:rsidP="00085EF9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B523D2" w:rsidRPr="00757728" w:rsidRDefault="00B523D2" w:rsidP="0008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523D2" w:rsidRPr="00C151F2" w:rsidRDefault="00B523D2" w:rsidP="00085EF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523D2" w:rsidRPr="00C151F2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6132C8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B523D2" w:rsidRPr="006132C8" w:rsidRDefault="00B523D2" w:rsidP="00085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523D2" w:rsidRDefault="00B523D2" w:rsidP="00085EF9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B523D2" w:rsidRDefault="00B523D2" w:rsidP="00085EF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51BE8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C95639" w:rsidRDefault="00B523D2" w:rsidP="00085EF9">
      <w:pPr>
        <w:spacing w:line="240" w:lineRule="auto"/>
      </w:pPr>
      <w:r w:rsidRPr="007F119C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bookmarkEnd w:id="1"/>
    <w:p w:rsidR="005D3E68" w:rsidRPr="005D1DB2" w:rsidRDefault="005D3E68" w:rsidP="00085EF9">
      <w:pPr>
        <w:spacing w:line="240" w:lineRule="auto"/>
        <w:ind w:right="179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D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5D3E68" w:rsidRPr="005D1DB2" w:rsidSect="00995A52">
      <w:foot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62" w:rsidRDefault="00095562">
      <w:pPr>
        <w:spacing w:line="240" w:lineRule="auto"/>
      </w:pPr>
      <w:r>
        <w:separator/>
      </w:r>
    </w:p>
  </w:endnote>
  <w:endnote w:type="continuationSeparator" w:id="0">
    <w:p w:rsidR="00095562" w:rsidRDefault="00095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85" w:rsidRPr="00CC3985" w:rsidRDefault="00CC3985">
    <w:pPr>
      <w:pStyle w:val="af9"/>
      <w:jc w:val="center"/>
      <w:rPr>
        <w:rFonts w:ascii="Times New Roman" w:hAnsi="Times New Roman" w:cs="Times New Roman"/>
        <w:sz w:val="24"/>
        <w:szCs w:val="24"/>
      </w:rPr>
    </w:pPr>
    <w:r w:rsidRPr="00CC3985">
      <w:rPr>
        <w:rFonts w:ascii="Times New Roman" w:hAnsi="Times New Roman" w:cs="Times New Roman"/>
        <w:sz w:val="24"/>
        <w:szCs w:val="24"/>
      </w:rPr>
      <w:fldChar w:fldCharType="begin"/>
    </w:r>
    <w:r w:rsidRPr="00CC3985">
      <w:rPr>
        <w:rFonts w:ascii="Times New Roman" w:hAnsi="Times New Roman" w:cs="Times New Roman"/>
        <w:sz w:val="24"/>
        <w:szCs w:val="24"/>
      </w:rPr>
      <w:instrText>PAGE   \* MERGEFORMAT</w:instrText>
    </w:r>
    <w:r w:rsidRPr="00CC3985">
      <w:rPr>
        <w:rFonts w:ascii="Times New Roman" w:hAnsi="Times New Roman" w:cs="Times New Roman"/>
        <w:sz w:val="24"/>
        <w:szCs w:val="24"/>
      </w:rPr>
      <w:fldChar w:fldCharType="separate"/>
    </w:r>
    <w:r w:rsidR="00D51BE8">
      <w:rPr>
        <w:rFonts w:ascii="Times New Roman" w:hAnsi="Times New Roman" w:cs="Times New Roman"/>
        <w:noProof/>
        <w:sz w:val="24"/>
        <w:szCs w:val="24"/>
      </w:rPr>
      <w:t>8</w:t>
    </w:r>
    <w:r w:rsidRPr="00CC398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A712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62" w:rsidRDefault="00095562">
      <w:pPr>
        <w:spacing w:line="240" w:lineRule="auto"/>
      </w:pPr>
      <w:r>
        <w:separator/>
      </w:r>
    </w:p>
  </w:footnote>
  <w:footnote w:type="continuationSeparator" w:id="0">
    <w:p w:rsidR="00095562" w:rsidRDefault="00095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A7129" w:rsidP="002B0BF3">
    <w:pPr>
      <w:pStyle w:val="af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9" w:rsidRDefault="000A7129" w:rsidP="002B0BF3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8D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22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10F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92D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0EF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D61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681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A0D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9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A0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0694F"/>
    <w:multiLevelType w:val="hybridMultilevel"/>
    <w:tmpl w:val="BDDA0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B1040"/>
    <w:multiLevelType w:val="hybridMultilevel"/>
    <w:tmpl w:val="563820AE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5704C"/>
    <w:multiLevelType w:val="hybridMultilevel"/>
    <w:tmpl w:val="8A2C31DA"/>
    <w:lvl w:ilvl="0" w:tplc="2096A3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0E6E50"/>
    <w:multiLevelType w:val="multilevel"/>
    <w:tmpl w:val="785246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0BA85D00"/>
    <w:multiLevelType w:val="hybridMultilevel"/>
    <w:tmpl w:val="06E4ACE4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0F9C17C5"/>
    <w:multiLevelType w:val="hybridMultilevel"/>
    <w:tmpl w:val="18CE17A6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C967A4"/>
    <w:multiLevelType w:val="hybridMultilevel"/>
    <w:tmpl w:val="A37EB420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2A7749C6"/>
    <w:multiLevelType w:val="hybridMultilevel"/>
    <w:tmpl w:val="EB4453F4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41ED5"/>
    <w:multiLevelType w:val="hybridMultilevel"/>
    <w:tmpl w:val="FF2A8B44"/>
    <w:lvl w:ilvl="0" w:tplc="B4C67D64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22">
    <w:nsid w:val="328B2B16"/>
    <w:multiLevelType w:val="hybridMultilevel"/>
    <w:tmpl w:val="3F7040D0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330203D6"/>
    <w:multiLevelType w:val="hybridMultilevel"/>
    <w:tmpl w:val="9AC87DFC"/>
    <w:lvl w:ilvl="0" w:tplc="98A457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E5DE5"/>
    <w:multiLevelType w:val="hybridMultilevel"/>
    <w:tmpl w:val="B4861C82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6">
    <w:nsid w:val="3B1C6B2C"/>
    <w:multiLevelType w:val="hybridMultilevel"/>
    <w:tmpl w:val="B2FA955E"/>
    <w:lvl w:ilvl="0" w:tplc="D486AC98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B625243"/>
    <w:multiLevelType w:val="hybridMultilevel"/>
    <w:tmpl w:val="3B103C1E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CB93FC5"/>
    <w:multiLevelType w:val="hybridMultilevel"/>
    <w:tmpl w:val="40929C24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1FDA505A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0B3897"/>
    <w:multiLevelType w:val="hybridMultilevel"/>
    <w:tmpl w:val="8B62D66E"/>
    <w:lvl w:ilvl="0" w:tplc="BFC2120A">
      <w:start w:val="1"/>
      <w:numFmt w:val="decimal"/>
      <w:lvlText w:val="%1)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43A0096D"/>
    <w:multiLevelType w:val="hybridMultilevel"/>
    <w:tmpl w:val="7CE2799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4F2697"/>
    <w:multiLevelType w:val="hybridMultilevel"/>
    <w:tmpl w:val="3850AA98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942BF"/>
    <w:multiLevelType w:val="multilevel"/>
    <w:tmpl w:val="96301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3">
    <w:nsid w:val="459D56BD"/>
    <w:multiLevelType w:val="hybridMultilevel"/>
    <w:tmpl w:val="9D9E5F88"/>
    <w:lvl w:ilvl="0" w:tplc="0C7070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59D5B3F"/>
    <w:multiLevelType w:val="hybridMultilevel"/>
    <w:tmpl w:val="E46C92F8"/>
    <w:lvl w:ilvl="0" w:tplc="D8EA0D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7070EC">
      <w:start w:val="1"/>
      <w:numFmt w:val="decimal"/>
      <w:lvlText w:val="3.%2."/>
      <w:lvlJc w:val="left"/>
      <w:pPr>
        <w:ind w:left="192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31C18"/>
    <w:multiLevelType w:val="hybridMultilevel"/>
    <w:tmpl w:val="D84EAE86"/>
    <w:lvl w:ilvl="0" w:tplc="47E0ED2A">
      <w:start w:val="1"/>
      <w:numFmt w:val="decimal"/>
      <w:lvlText w:val="%1)"/>
      <w:lvlJc w:val="left"/>
      <w:pPr>
        <w:ind w:left="7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>
    <w:nsid w:val="55DB7B91"/>
    <w:multiLevelType w:val="hybridMultilevel"/>
    <w:tmpl w:val="906A98CA"/>
    <w:lvl w:ilvl="0" w:tplc="E9E6DA8A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37">
    <w:nsid w:val="5D1D6453"/>
    <w:multiLevelType w:val="hybridMultilevel"/>
    <w:tmpl w:val="12E4274C"/>
    <w:lvl w:ilvl="0" w:tplc="1FDA505A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9D44D54A">
      <w:start w:val="1"/>
      <w:numFmt w:val="decimal"/>
      <w:lvlText w:val="1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2B34A41"/>
    <w:multiLevelType w:val="hybridMultilevel"/>
    <w:tmpl w:val="BB0E7E10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9">
    <w:nsid w:val="635B76A7"/>
    <w:multiLevelType w:val="hybridMultilevel"/>
    <w:tmpl w:val="52A0183A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0">
    <w:nsid w:val="65E25EF5"/>
    <w:multiLevelType w:val="hybridMultilevel"/>
    <w:tmpl w:val="23EEDFE4"/>
    <w:lvl w:ilvl="0" w:tplc="0EC2AF50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41">
    <w:nsid w:val="75A15FD6"/>
    <w:multiLevelType w:val="hybridMultilevel"/>
    <w:tmpl w:val="C0D087DE"/>
    <w:lvl w:ilvl="0" w:tplc="22580B4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4A2C49"/>
    <w:multiLevelType w:val="multilevel"/>
    <w:tmpl w:val="9FDA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43">
    <w:nsid w:val="7D3C49E0"/>
    <w:multiLevelType w:val="multilevel"/>
    <w:tmpl w:val="C994D6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44">
    <w:nsid w:val="7ED8671C"/>
    <w:multiLevelType w:val="hybridMultilevel"/>
    <w:tmpl w:val="CB98071C"/>
    <w:lvl w:ilvl="0" w:tplc="F9C816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13"/>
  </w:num>
  <w:num w:numId="17">
    <w:abstractNumId w:val="10"/>
  </w:num>
  <w:num w:numId="18">
    <w:abstractNumId w:val="21"/>
  </w:num>
  <w:num w:numId="19">
    <w:abstractNumId w:val="40"/>
  </w:num>
  <w:num w:numId="20">
    <w:abstractNumId w:val="26"/>
  </w:num>
  <w:num w:numId="21">
    <w:abstractNumId w:val="30"/>
  </w:num>
  <w:num w:numId="22">
    <w:abstractNumId w:val="39"/>
  </w:num>
  <w:num w:numId="23">
    <w:abstractNumId w:val="18"/>
  </w:num>
  <w:num w:numId="24">
    <w:abstractNumId w:val="23"/>
  </w:num>
  <w:num w:numId="25">
    <w:abstractNumId w:val="20"/>
  </w:num>
  <w:num w:numId="26">
    <w:abstractNumId w:val="14"/>
  </w:num>
  <w:num w:numId="27">
    <w:abstractNumId w:val="32"/>
  </w:num>
  <w:num w:numId="28">
    <w:abstractNumId w:val="24"/>
  </w:num>
  <w:num w:numId="29">
    <w:abstractNumId w:val="11"/>
  </w:num>
  <w:num w:numId="30">
    <w:abstractNumId w:val="42"/>
  </w:num>
  <w:num w:numId="31">
    <w:abstractNumId w:val="22"/>
  </w:num>
  <w:num w:numId="32">
    <w:abstractNumId w:val="15"/>
  </w:num>
  <w:num w:numId="33">
    <w:abstractNumId w:val="16"/>
  </w:num>
  <w:num w:numId="34">
    <w:abstractNumId w:val="38"/>
  </w:num>
  <w:num w:numId="35">
    <w:abstractNumId w:val="43"/>
  </w:num>
  <w:num w:numId="36">
    <w:abstractNumId w:val="29"/>
  </w:num>
  <w:num w:numId="37">
    <w:abstractNumId w:val="27"/>
  </w:num>
  <w:num w:numId="38">
    <w:abstractNumId w:val="37"/>
  </w:num>
  <w:num w:numId="39">
    <w:abstractNumId w:val="28"/>
  </w:num>
  <w:num w:numId="40">
    <w:abstractNumId w:val="33"/>
  </w:num>
  <w:num w:numId="41">
    <w:abstractNumId w:val="44"/>
  </w:num>
  <w:num w:numId="42">
    <w:abstractNumId w:val="34"/>
  </w:num>
  <w:num w:numId="43">
    <w:abstractNumId w:val="41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491C"/>
    <w:rsid w:val="000146FB"/>
    <w:rsid w:val="00016F22"/>
    <w:rsid w:val="000303A7"/>
    <w:rsid w:val="000331EB"/>
    <w:rsid w:val="0003449B"/>
    <w:rsid w:val="0005129D"/>
    <w:rsid w:val="00051332"/>
    <w:rsid w:val="000541BF"/>
    <w:rsid w:val="00067A12"/>
    <w:rsid w:val="00085EF9"/>
    <w:rsid w:val="00095562"/>
    <w:rsid w:val="000A18D4"/>
    <w:rsid w:val="000A26AE"/>
    <w:rsid w:val="000A7129"/>
    <w:rsid w:val="000B4B50"/>
    <w:rsid w:val="000D0754"/>
    <w:rsid w:val="000D33E8"/>
    <w:rsid w:val="000E432F"/>
    <w:rsid w:val="000F225C"/>
    <w:rsid w:val="000F5161"/>
    <w:rsid w:val="00106644"/>
    <w:rsid w:val="001170EE"/>
    <w:rsid w:val="00131C93"/>
    <w:rsid w:val="00132338"/>
    <w:rsid w:val="00133C61"/>
    <w:rsid w:val="00172507"/>
    <w:rsid w:val="00176B78"/>
    <w:rsid w:val="001828F9"/>
    <w:rsid w:val="0018399A"/>
    <w:rsid w:val="00193239"/>
    <w:rsid w:val="001A2A06"/>
    <w:rsid w:val="001B3D73"/>
    <w:rsid w:val="001D070A"/>
    <w:rsid w:val="001D7374"/>
    <w:rsid w:val="001D7C62"/>
    <w:rsid w:val="001E070D"/>
    <w:rsid w:val="0020700E"/>
    <w:rsid w:val="002133D4"/>
    <w:rsid w:val="002135DA"/>
    <w:rsid w:val="002632A9"/>
    <w:rsid w:val="00264F41"/>
    <w:rsid w:val="002664DD"/>
    <w:rsid w:val="00282D05"/>
    <w:rsid w:val="00290F49"/>
    <w:rsid w:val="002A0665"/>
    <w:rsid w:val="002B0BF3"/>
    <w:rsid w:val="002B7A5E"/>
    <w:rsid w:val="002C04FC"/>
    <w:rsid w:val="002D23FC"/>
    <w:rsid w:val="002D5593"/>
    <w:rsid w:val="002F043D"/>
    <w:rsid w:val="002F1148"/>
    <w:rsid w:val="003078A8"/>
    <w:rsid w:val="00313E36"/>
    <w:rsid w:val="00315DC6"/>
    <w:rsid w:val="0032799E"/>
    <w:rsid w:val="00330304"/>
    <w:rsid w:val="00333878"/>
    <w:rsid w:val="00336497"/>
    <w:rsid w:val="00336735"/>
    <w:rsid w:val="00344D0E"/>
    <w:rsid w:val="0035393B"/>
    <w:rsid w:val="00360320"/>
    <w:rsid w:val="003A3ED5"/>
    <w:rsid w:val="003A4E43"/>
    <w:rsid w:val="003B4F97"/>
    <w:rsid w:val="003F3145"/>
    <w:rsid w:val="004028C6"/>
    <w:rsid w:val="00460967"/>
    <w:rsid w:val="004671F5"/>
    <w:rsid w:val="00476D30"/>
    <w:rsid w:val="00484B32"/>
    <w:rsid w:val="004A5754"/>
    <w:rsid w:val="004E0DAE"/>
    <w:rsid w:val="004F27BB"/>
    <w:rsid w:val="004F3A6F"/>
    <w:rsid w:val="004F7639"/>
    <w:rsid w:val="00531B48"/>
    <w:rsid w:val="0053698D"/>
    <w:rsid w:val="00542E4B"/>
    <w:rsid w:val="0055206A"/>
    <w:rsid w:val="00580EE6"/>
    <w:rsid w:val="00596A9D"/>
    <w:rsid w:val="005A1BAB"/>
    <w:rsid w:val="005A5FE6"/>
    <w:rsid w:val="005B66F8"/>
    <w:rsid w:val="005B748B"/>
    <w:rsid w:val="005C6E3B"/>
    <w:rsid w:val="005D1DB2"/>
    <w:rsid w:val="005D3E68"/>
    <w:rsid w:val="005E40C3"/>
    <w:rsid w:val="006027F1"/>
    <w:rsid w:val="00612DD6"/>
    <w:rsid w:val="006132C8"/>
    <w:rsid w:val="0064056C"/>
    <w:rsid w:val="006407F2"/>
    <w:rsid w:val="0064135E"/>
    <w:rsid w:val="006466AE"/>
    <w:rsid w:val="006468CB"/>
    <w:rsid w:val="006763F2"/>
    <w:rsid w:val="0067749D"/>
    <w:rsid w:val="006A2175"/>
    <w:rsid w:val="006A6A3A"/>
    <w:rsid w:val="006B17B9"/>
    <w:rsid w:val="006B19D7"/>
    <w:rsid w:val="006B2080"/>
    <w:rsid w:val="006B3AD7"/>
    <w:rsid w:val="006C0F7D"/>
    <w:rsid w:val="006C60E7"/>
    <w:rsid w:val="006D49F7"/>
    <w:rsid w:val="006F0B7A"/>
    <w:rsid w:val="006F2E7F"/>
    <w:rsid w:val="00706C23"/>
    <w:rsid w:val="00712D66"/>
    <w:rsid w:val="007203E8"/>
    <w:rsid w:val="00731428"/>
    <w:rsid w:val="0073250E"/>
    <w:rsid w:val="0074222A"/>
    <w:rsid w:val="00746DBB"/>
    <w:rsid w:val="0075653B"/>
    <w:rsid w:val="00757728"/>
    <w:rsid w:val="007752DA"/>
    <w:rsid w:val="007802CF"/>
    <w:rsid w:val="00786CAB"/>
    <w:rsid w:val="0078765A"/>
    <w:rsid w:val="007913CD"/>
    <w:rsid w:val="007B4B26"/>
    <w:rsid w:val="007C5E65"/>
    <w:rsid w:val="007D1202"/>
    <w:rsid w:val="007D3C1F"/>
    <w:rsid w:val="007D3D73"/>
    <w:rsid w:val="007E30EF"/>
    <w:rsid w:val="007E66F8"/>
    <w:rsid w:val="007F119C"/>
    <w:rsid w:val="007F33F9"/>
    <w:rsid w:val="0080208B"/>
    <w:rsid w:val="00804AC7"/>
    <w:rsid w:val="00812E7B"/>
    <w:rsid w:val="00822D40"/>
    <w:rsid w:val="0085419E"/>
    <w:rsid w:val="00857F46"/>
    <w:rsid w:val="0086255C"/>
    <w:rsid w:val="008628BA"/>
    <w:rsid w:val="00864187"/>
    <w:rsid w:val="0088172E"/>
    <w:rsid w:val="00881D6D"/>
    <w:rsid w:val="00884E02"/>
    <w:rsid w:val="00886E4D"/>
    <w:rsid w:val="00894B5F"/>
    <w:rsid w:val="008969E6"/>
    <w:rsid w:val="008A0BCB"/>
    <w:rsid w:val="008A5848"/>
    <w:rsid w:val="008A7DAD"/>
    <w:rsid w:val="008B02B1"/>
    <w:rsid w:val="008B058B"/>
    <w:rsid w:val="008D06B2"/>
    <w:rsid w:val="008D4C83"/>
    <w:rsid w:val="00913699"/>
    <w:rsid w:val="0093430F"/>
    <w:rsid w:val="00953345"/>
    <w:rsid w:val="009615AE"/>
    <w:rsid w:val="00984EC0"/>
    <w:rsid w:val="00987384"/>
    <w:rsid w:val="00994B91"/>
    <w:rsid w:val="00995A52"/>
    <w:rsid w:val="00997369"/>
    <w:rsid w:val="009B60D6"/>
    <w:rsid w:val="009C26EF"/>
    <w:rsid w:val="009E0ACD"/>
    <w:rsid w:val="009E7BEA"/>
    <w:rsid w:val="00A011AD"/>
    <w:rsid w:val="00A2261B"/>
    <w:rsid w:val="00A22FD0"/>
    <w:rsid w:val="00A26ED1"/>
    <w:rsid w:val="00A34609"/>
    <w:rsid w:val="00A5249D"/>
    <w:rsid w:val="00A54388"/>
    <w:rsid w:val="00A566E8"/>
    <w:rsid w:val="00A61C2F"/>
    <w:rsid w:val="00A63E43"/>
    <w:rsid w:val="00A67D48"/>
    <w:rsid w:val="00A87F27"/>
    <w:rsid w:val="00A925F5"/>
    <w:rsid w:val="00AA25F5"/>
    <w:rsid w:val="00AA37F8"/>
    <w:rsid w:val="00AA748C"/>
    <w:rsid w:val="00AA7948"/>
    <w:rsid w:val="00AA7F60"/>
    <w:rsid w:val="00AB1FFC"/>
    <w:rsid w:val="00AC2BBB"/>
    <w:rsid w:val="00AE0AF0"/>
    <w:rsid w:val="00AE0FA0"/>
    <w:rsid w:val="00AE3B27"/>
    <w:rsid w:val="00AE5BA7"/>
    <w:rsid w:val="00AF0C69"/>
    <w:rsid w:val="00AF3465"/>
    <w:rsid w:val="00AF38F3"/>
    <w:rsid w:val="00AF7503"/>
    <w:rsid w:val="00B04F97"/>
    <w:rsid w:val="00B06890"/>
    <w:rsid w:val="00B21C24"/>
    <w:rsid w:val="00B21FD2"/>
    <w:rsid w:val="00B27DD3"/>
    <w:rsid w:val="00B30D1F"/>
    <w:rsid w:val="00B424D7"/>
    <w:rsid w:val="00B523D2"/>
    <w:rsid w:val="00B57D92"/>
    <w:rsid w:val="00B65685"/>
    <w:rsid w:val="00B741D0"/>
    <w:rsid w:val="00B75D2C"/>
    <w:rsid w:val="00B84305"/>
    <w:rsid w:val="00B91789"/>
    <w:rsid w:val="00BA1A17"/>
    <w:rsid w:val="00BB030F"/>
    <w:rsid w:val="00BB1E4C"/>
    <w:rsid w:val="00BB29DB"/>
    <w:rsid w:val="00BD6D79"/>
    <w:rsid w:val="00BE0052"/>
    <w:rsid w:val="00BE3EC6"/>
    <w:rsid w:val="00BE69E1"/>
    <w:rsid w:val="00BF45D2"/>
    <w:rsid w:val="00BF52E8"/>
    <w:rsid w:val="00C001C3"/>
    <w:rsid w:val="00C02610"/>
    <w:rsid w:val="00C13212"/>
    <w:rsid w:val="00C151F2"/>
    <w:rsid w:val="00C5093B"/>
    <w:rsid w:val="00C50FAF"/>
    <w:rsid w:val="00C529F3"/>
    <w:rsid w:val="00C65FFE"/>
    <w:rsid w:val="00C73892"/>
    <w:rsid w:val="00C73DAE"/>
    <w:rsid w:val="00C95639"/>
    <w:rsid w:val="00C96EF7"/>
    <w:rsid w:val="00CB27B5"/>
    <w:rsid w:val="00CC3985"/>
    <w:rsid w:val="00CD0DC3"/>
    <w:rsid w:val="00CF0D2B"/>
    <w:rsid w:val="00CF62BC"/>
    <w:rsid w:val="00D13603"/>
    <w:rsid w:val="00D300CC"/>
    <w:rsid w:val="00D43B7E"/>
    <w:rsid w:val="00D43D48"/>
    <w:rsid w:val="00D51BE8"/>
    <w:rsid w:val="00D7436E"/>
    <w:rsid w:val="00D76798"/>
    <w:rsid w:val="00DA00BD"/>
    <w:rsid w:val="00DA579C"/>
    <w:rsid w:val="00DB2B22"/>
    <w:rsid w:val="00DB46FD"/>
    <w:rsid w:val="00DD17D5"/>
    <w:rsid w:val="00DD348F"/>
    <w:rsid w:val="00DD3C77"/>
    <w:rsid w:val="00DE28BC"/>
    <w:rsid w:val="00DF06E6"/>
    <w:rsid w:val="00E04D83"/>
    <w:rsid w:val="00E05E34"/>
    <w:rsid w:val="00E10D00"/>
    <w:rsid w:val="00E25A5F"/>
    <w:rsid w:val="00E27B15"/>
    <w:rsid w:val="00E524CA"/>
    <w:rsid w:val="00E5670D"/>
    <w:rsid w:val="00E6157B"/>
    <w:rsid w:val="00E66AEF"/>
    <w:rsid w:val="00E825B7"/>
    <w:rsid w:val="00E90D29"/>
    <w:rsid w:val="00E91686"/>
    <w:rsid w:val="00E940DE"/>
    <w:rsid w:val="00EA1D33"/>
    <w:rsid w:val="00EA48D5"/>
    <w:rsid w:val="00EA7CD4"/>
    <w:rsid w:val="00EC4A33"/>
    <w:rsid w:val="00EC7953"/>
    <w:rsid w:val="00ED74D5"/>
    <w:rsid w:val="00F035C6"/>
    <w:rsid w:val="00F03751"/>
    <w:rsid w:val="00F03F1A"/>
    <w:rsid w:val="00F15C1C"/>
    <w:rsid w:val="00F1732B"/>
    <w:rsid w:val="00F22961"/>
    <w:rsid w:val="00F253BD"/>
    <w:rsid w:val="00F26BB5"/>
    <w:rsid w:val="00F353C2"/>
    <w:rsid w:val="00F428C3"/>
    <w:rsid w:val="00F667C0"/>
    <w:rsid w:val="00F81DB7"/>
    <w:rsid w:val="00FA24F2"/>
    <w:rsid w:val="00FA5DE4"/>
    <w:rsid w:val="00FB6853"/>
    <w:rsid w:val="00FC2DC2"/>
    <w:rsid w:val="00FC5C24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e">
    <w:name w:val="Table Grid"/>
    <w:basedOn w:val="a1"/>
    <w:uiPriority w:val="39"/>
    <w:rsid w:val="00C5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link w:val="aff0"/>
    <w:uiPriority w:val="1"/>
    <w:qFormat/>
    <w:rsid w:val="002A0665"/>
    <w:rPr>
      <w:rFonts w:ascii="Calibri" w:eastAsia="Times New Roman" w:hAnsi="Calibri" w:cs="Times New Roman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2A0665"/>
    <w:rPr>
      <w:rFonts w:ascii="Calibri" w:eastAsia="Times New Roman" w:hAnsi="Calibri" w:cs="Times New Roman"/>
      <w:sz w:val="22"/>
      <w:szCs w:val="22"/>
    </w:rPr>
  </w:style>
  <w:style w:type="paragraph" w:styleId="aff1">
    <w:name w:val="annotation subject"/>
    <w:basedOn w:val="af"/>
    <w:next w:val="af"/>
    <w:link w:val="aff2"/>
    <w:uiPriority w:val="99"/>
    <w:semiHidden/>
    <w:unhideWhenUsed/>
    <w:rsid w:val="002F1148"/>
    <w:pPr>
      <w:spacing w:line="276" w:lineRule="auto"/>
    </w:pPr>
    <w:rPr>
      <w:b/>
      <w:bCs/>
      <w:sz w:val="20"/>
      <w:szCs w:val="20"/>
    </w:rPr>
  </w:style>
  <w:style w:type="character" w:customStyle="1" w:styleId="aff2">
    <w:name w:val="Тема примечания Знак"/>
    <w:link w:val="aff1"/>
    <w:uiPriority w:val="99"/>
    <w:semiHidden/>
    <w:rsid w:val="002F1148"/>
    <w:rPr>
      <w:b/>
      <w:bCs/>
      <w:color w:val="000000"/>
      <w:sz w:val="24"/>
      <w:szCs w:val="24"/>
      <w:lang w:eastAsia="zh-CN"/>
    </w:rPr>
  </w:style>
  <w:style w:type="paragraph" w:customStyle="1" w:styleId="aff3">
    <w:name w:val="СРО"/>
    <w:basedOn w:val="2"/>
    <w:link w:val="aff4"/>
    <w:qFormat/>
    <w:rsid w:val="00085EF9"/>
    <w:pPr>
      <w:spacing w:before="240" w:after="60"/>
      <w:jc w:val="center"/>
    </w:pPr>
    <w:rPr>
      <w:rFonts w:ascii="Cambria" w:hAnsi="Cambria"/>
      <w:b/>
      <w:sz w:val="28"/>
      <w:szCs w:val="28"/>
    </w:rPr>
  </w:style>
  <w:style w:type="character" w:customStyle="1" w:styleId="20">
    <w:name w:val="Заголовок 2 Знак"/>
    <w:link w:val="2"/>
    <w:rsid w:val="00085EF9"/>
    <w:rPr>
      <w:color w:val="000000"/>
      <w:sz w:val="32"/>
      <w:szCs w:val="32"/>
      <w:lang w:eastAsia="zh-CN"/>
    </w:rPr>
  </w:style>
  <w:style w:type="character" w:customStyle="1" w:styleId="aff4">
    <w:name w:val="СРО Знак"/>
    <w:link w:val="aff3"/>
    <w:rsid w:val="00085EF9"/>
    <w:rPr>
      <w:rFonts w:ascii="Cambria" w:hAnsi="Cambria"/>
      <w:b/>
      <w:color w:val="00000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e">
    <w:name w:val="Table Grid"/>
    <w:basedOn w:val="a1"/>
    <w:uiPriority w:val="39"/>
    <w:rsid w:val="00C5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link w:val="aff0"/>
    <w:uiPriority w:val="1"/>
    <w:qFormat/>
    <w:rsid w:val="002A0665"/>
    <w:rPr>
      <w:rFonts w:ascii="Calibri" w:eastAsia="Times New Roman" w:hAnsi="Calibri" w:cs="Times New Roman"/>
      <w:sz w:val="22"/>
      <w:szCs w:val="22"/>
    </w:rPr>
  </w:style>
  <w:style w:type="character" w:customStyle="1" w:styleId="aff0">
    <w:name w:val="Без интервала Знак"/>
    <w:link w:val="aff"/>
    <w:uiPriority w:val="1"/>
    <w:rsid w:val="002A0665"/>
    <w:rPr>
      <w:rFonts w:ascii="Calibri" w:eastAsia="Times New Roman" w:hAnsi="Calibri" w:cs="Times New Roman"/>
      <w:sz w:val="22"/>
      <w:szCs w:val="22"/>
    </w:rPr>
  </w:style>
  <w:style w:type="paragraph" w:styleId="aff1">
    <w:name w:val="annotation subject"/>
    <w:basedOn w:val="af"/>
    <w:next w:val="af"/>
    <w:link w:val="aff2"/>
    <w:uiPriority w:val="99"/>
    <w:semiHidden/>
    <w:unhideWhenUsed/>
    <w:rsid w:val="002F1148"/>
    <w:pPr>
      <w:spacing w:line="276" w:lineRule="auto"/>
    </w:pPr>
    <w:rPr>
      <w:b/>
      <w:bCs/>
      <w:sz w:val="20"/>
      <w:szCs w:val="20"/>
    </w:rPr>
  </w:style>
  <w:style w:type="character" w:customStyle="1" w:styleId="aff2">
    <w:name w:val="Тема примечания Знак"/>
    <w:link w:val="aff1"/>
    <w:uiPriority w:val="99"/>
    <w:semiHidden/>
    <w:rsid w:val="002F1148"/>
    <w:rPr>
      <w:b/>
      <w:bCs/>
      <w:color w:val="000000"/>
      <w:sz w:val="24"/>
      <w:szCs w:val="24"/>
      <w:lang w:eastAsia="zh-CN"/>
    </w:rPr>
  </w:style>
  <w:style w:type="paragraph" w:customStyle="1" w:styleId="aff3">
    <w:name w:val="СРО"/>
    <w:basedOn w:val="2"/>
    <w:link w:val="aff4"/>
    <w:qFormat/>
    <w:rsid w:val="00085EF9"/>
    <w:pPr>
      <w:spacing w:before="240" w:after="60"/>
      <w:jc w:val="center"/>
    </w:pPr>
    <w:rPr>
      <w:rFonts w:ascii="Cambria" w:hAnsi="Cambria"/>
      <w:b/>
      <w:sz w:val="28"/>
      <w:szCs w:val="28"/>
    </w:rPr>
  </w:style>
  <w:style w:type="character" w:customStyle="1" w:styleId="20">
    <w:name w:val="Заголовок 2 Знак"/>
    <w:link w:val="2"/>
    <w:rsid w:val="00085EF9"/>
    <w:rPr>
      <w:color w:val="000000"/>
      <w:sz w:val="32"/>
      <w:szCs w:val="32"/>
      <w:lang w:eastAsia="zh-CN"/>
    </w:rPr>
  </w:style>
  <w:style w:type="character" w:customStyle="1" w:styleId="aff4">
    <w:name w:val="СРО Знак"/>
    <w:link w:val="aff3"/>
    <w:rsid w:val="00085EF9"/>
    <w:rPr>
      <w:rFonts w:ascii="Cambria" w:hAnsi="Cambria"/>
      <w:b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89D1-B27A-4F14-BA33-8D54DC1C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НП СРО "ГС.П"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 Мешалов</dc:creator>
  <cp:lastModifiedBy>Анна Зайцева</cp:lastModifiedBy>
  <cp:revision>2</cp:revision>
  <cp:lastPrinted>2016-09-03T09:49:00Z</cp:lastPrinted>
  <dcterms:created xsi:type="dcterms:W3CDTF">2017-09-25T07:02:00Z</dcterms:created>
  <dcterms:modified xsi:type="dcterms:W3CDTF">2017-09-25T07:02:00Z</dcterms:modified>
</cp:coreProperties>
</file>