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5E1E">
      <w:pPr>
        <w:pStyle w:val="ConsPlusNormal"/>
        <w:jc w:val="both"/>
        <w:outlineLvl w:val="0"/>
      </w:pPr>
      <w:bookmarkStart w:id="0" w:name="_GoBack"/>
      <w:bookmarkEnd w:id="0"/>
    </w:p>
    <w:p w:rsidR="00000000" w:rsidRDefault="00475E1E">
      <w:pPr>
        <w:pStyle w:val="ConsPlusTitle"/>
        <w:jc w:val="center"/>
      </w:pPr>
      <w:r>
        <w:t>МИНИСТЕРСТВО СТРОИТЕЛЬСТВА И ЖИЛИЩНО-КОММУНАЛЬНОГО</w:t>
      </w:r>
    </w:p>
    <w:p w:rsidR="00000000" w:rsidRDefault="00475E1E">
      <w:pPr>
        <w:pStyle w:val="ConsPlusTitle"/>
        <w:jc w:val="center"/>
      </w:pPr>
      <w:r>
        <w:t>ХОЗЯЙСТВА РОССИЙСКОЙ ФЕДЕРАЦИИ</w:t>
      </w:r>
    </w:p>
    <w:p w:rsidR="00000000" w:rsidRDefault="00475E1E">
      <w:pPr>
        <w:pStyle w:val="ConsPlusTitle"/>
        <w:jc w:val="center"/>
      </w:pPr>
    </w:p>
    <w:p w:rsidR="00000000" w:rsidRDefault="00475E1E">
      <w:pPr>
        <w:pStyle w:val="ConsPlusTitle"/>
        <w:jc w:val="center"/>
      </w:pPr>
      <w:r>
        <w:t>ПИСЬМО</w:t>
      </w:r>
    </w:p>
    <w:p w:rsidR="00000000" w:rsidRDefault="00475E1E">
      <w:pPr>
        <w:pStyle w:val="ConsPlusTitle"/>
        <w:jc w:val="center"/>
      </w:pPr>
      <w:r>
        <w:t>от 10 июня 2021 г. N 24024-ТБ/02</w:t>
      </w:r>
    </w:p>
    <w:p w:rsidR="00000000" w:rsidRDefault="00475E1E">
      <w:pPr>
        <w:pStyle w:val="ConsPlusNormal"/>
        <w:ind w:firstLine="540"/>
        <w:jc w:val="both"/>
      </w:pPr>
    </w:p>
    <w:p w:rsidR="00000000" w:rsidRDefault="00475E1E">
      <w:pPr>
        <w:pStyle w:val="ConsPlusNormal"/>
        <w:ind w:firstLine="540"/>
        <w:jc w:val="both"/>
      </w:pPr>
      <w:r>
        <w:t>Правовой департамент Министерства строительства и жилищно-коммунального хозяйства Российской Федерации рассмотрел обращение и по поставленным в нем вопросам сообщает следующее.</w:t>
      </w:r>
    </w:p>
    <w:p w:rsidR="00000000" w:rsidRDefault="00475E1E">
      <w:pPr>
        <w:pStyle w:val="ConsPlusNormal"/>
        <w:spacing w:before="240"/>
        <w:ind w:firstLine="540"/>
        <w:jc w:val="both"/>
      </w:pPr>
      <w:hyperlink r:id="rId6" w:history="1">
        <w:r>
          <w:rPr>
            <w:color w:val="0000FF"/>
          </w:rPr>
          <w:t>Пунктом 1 статьи 49</w:t>
        </w:r>
      </w:hyperlink>
      <w:r>
        <w:t xml:space="preserve"> Гражданского кодекса Российской Федерации установлено, что в случаях, предусмотренных законом, юридическое лицо может заниматься отдельными видами деятельности только на основании специального разрешения (лицензии) или членства в саморегулируемой организа</w:t>
      </w:r>
      <w:r>
        <w:t>ции.</w:t>
      </w:r>
    </w:p>
    <w:p w:rsidR="00000000" w:rsidRDefault="00475E1E">
      <w:pPr>
        <w:pStyle w:val="ConsPlusNormal"/>
        <w:spacing w:before="240"/>
        <w:ind w:firstLine="540"/>
        <w:jc w:val="both"/>
      </w:pPr>
      <w:hyperlink r:id="rId7" w:history="1">
        <w:r>
          <w:rPr>
            <w:color w:val="0000FF"/>
          </w:rPr>
          <w:t>Частью 2 статьи 47</w:t>
        </w:r>
      </w:hyperlink>
      <w:r>
        <w:t xml:space="preserve">, </w:t>
      </w:r>
      <w:hyperlink r:id="rId8" w:history="1">
        <w:r>
          <w:rPr>
            <w:color w:val="0000FF"/>
          </w:rPr>
          <w:t>частью 4 статьи 48</w:t>
        </w:r>
      </w:hyperlink>
      <w:r>
        <w:t>,</w:t>
      </w:r>
      <w:r>
        <w:t xml:space="preserve"> </w:t>
      </w:r>
      <w:hyperlink r:id="rId9" w:history="1">
        <w:r>
          <w:rPr>
            <w:color w:val="0000FF"/>
          </w:rPr>
          <w:t>частью 2 статьи 52</w:t>
        </w:r>
      </w:hyperlink>
      <w:r>
        <w:t xml:space="preserve"> Градостроительного кодекса Российской Федерации (далее - Кодекс) обязательность членства в саморегулируемых организациях в области</w:t>
      </w:r>
      <w:r>
        <w:t xml:space="preserve">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установлена только для индивидуальных предпринимателей, юридических лиц, выполняющих работы соот</w:t>
      </w:r>
      <w:r>
        <w:t xml:space="preserve">ветственно по договорам подряда о выполнении инженерных изысканий, о подготовке проектной документации, внесению изменений в проектную документацию в соответствии с </w:t>
      </w:r>
      <w:hyperlink r:id="rId10" w:history="1">
        <w:r>
          <w:rPr>
            <w:color w:val="0000FF"/>
          </w:rPr>
          <w:t>частями 3.8</w:t>
        </w:r>
      </w:hyperlink>
      <w:r>
        <w:t xml:space="preserve"> и </w:t>
      </w:r>
      <w:hyperlink r:id="rId11" w:history="1">
        <w:r>
          <w:rPr>
            <w:color w:val="0000FF"/>
          </w:rPr>
          <w:t>3.9 статьи 49</w:t>
        </w:r>
      </w:hyperlink>
      <w:r>
        <w:t xml:space="preserve"> Кодекса, о строительстве, реконструкции, капитальном ремонте объектов капитального строительства, заключенн</w:t>
      </w:r>
      <w:r>
        <w:t>ым с застройщиком, техническим заказчиком, лицом, ответственным за эксплуатацию здания, сооружения, либо со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</w:t>
      </w:r>
      <w:r>
        <w:t xml:space="preserve">о имущества в многоквартирных домах (далее - договор подряда), за исключением случаев, предусмотренных </w:t>
      </w:r>
      <w:hyperlink r:id="rId12" w:history="1">
        <w:r>
          <w:rPr>
            <w:color w:val="0000FF"/>
          </w:rPr>
          <w:t>частью 2.1 статьи 47</w:t>
        </w:r>
      </w:hyperlink>
      <w:r>
        <w:t xml:space="preserve">, </w:t>
      </w:r>
      <w:hyperlink r:id="rId13" w:history="1">
        <w:r>
          <w:rPr>
            <w:color w:val="0000FF"/>
          </w:rPr>
          <w:t>частью 4.1 статьи 48</w:t>
        </w:r>
      </w:hyperlink>
      <w:r>
        <w:t xml:space="preserve">, </w:t>
      </w:r>
      <w:hyperlink r:id="rId14" w:history="1">
        <w:r>
          <w:rPr>
            <w:color w:val="0000FF"/>
          </w:rPr>
          <w:t>частями 2.1</w:t>
        </w:r>
      </w:hyperlink>
      <w:r>
        <w:t xml:space="preserve"> и </w:t>
      </w:r>
      <w:hyperlink r:id="rId15" w:history="1">
        <w:r>
          <w:rPr>
            <w:color w:val="0000FF"/>
          </w:rPr>
          <w:t>2.2 статьи 52</w:t>
        </w:r>
      </w:hyperlink>
      <w:r>
        <w:t xml:space="preserve"> Кодекса.</w:t>
      </w:r>
    </w:p>
    <w:p w:rsidR="00000000" w:rsidRDefault="00475E1E">
      <w:pPr>
        <w:pStyle w:val="ConsPlusNormal"/>
        <w:spacing w:before="240"/>
        <w:ind w:firstLine="540"/>
        <w:jc w:val="both"/>
      </w:pPr>
      <w:r>
        <w:t xml:space="preserve">Работы по договорам о выполнении инженерных изысканий, о подготовке проектной документации, внесению изменений в проектную документацию в соответствии с </w:t>
      </w:r>
      <w:hyperlink r:id="rId16" w:history="1">
        <w:r>
          <w:rPr>
            <w:color w:val="0000FF"/>
          </w:rPr>
          <w:t>частями 3.8</w:t>
        </w:r>
      </w:hyperlink>
      <w:r>
        <w:t xml:space="preserve"> и </w:t>
      </w:r>
      <w:hyperlink r:id="rId17" w:history="1">
        <w:r>
          <w:rPr>
            <w:color w:val="0000FF"/>
          </w:rPr>
          <w:t>3.9 статьи 49</w:t>
        </w:r>
      </w:hyperlink>
      <w:r>
        <w:t xml:space="preserve"> Кодекса, о строительств</w:t>
      </w:r>
      <w:r>
        <w:t xml:space="preserve">е, реконструкции, капитальном ремонте объектов капитального строительства, заключенным с иными лицами (далее - договоры субподряда), могут выполняться индивидуальными предпринимателями или юридическими лицами, не являющимися членами таких саморегулируемых </w:t>
      </w:r>
      <w:r>
        <w:t>организаций.</w:t>
      </w:r>
    </w:p>
    <w:p w:rsidR="00000000" w:rsidRDefault="00475E1E">
      <w:pPr>
        <w:pStyle w:val="ConsPlusNormal"/>
        <w:spacing w:before="240"/>
        <w:ind w:firstLine="540"/>
        <w:jc w:val="both"/>
      </w:pPr>
      <w:r>
        <w:t>Ответственность по обязательствам, возникшим вследствие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сооружения, или вследствие неис</w:t>
      </w:r>
      <w:r>
        <w:t>полнения или ненадлежащего исполнения индивидуальным предпринимателем или юридическим лицом обязательств по договору подряда обеспечивается в пределах средств компенсационного фонда возмещения вреда и (или) компенсационного фонда обеспечения договорных обя</w:t>
      </w:r>
      <w:r>
        <w:t xml:space="preserve">зательств саморегулируемой организации, членом которой является такой индивидуальный предприниматель или юридическое лицо, в порядке, установленном положениями </w:t>
      </w:r>
      <w:hyperlink r:id="rId18" w:history="1">
        <w:r>
          <w:rPr>
            <w:color w:val="0000FF"/>
          </w:rPr>
          <w:t>статей 60</w:t>
        </w:r>
      </w:hyperlink>
      <w:r>
        <w:t xml:space="preserve"> и </w:t>
      </w:r>
      <w:hyperlink r:id="rId19" w:history="1">
        <w:r>
          <w:rPr>
            <w:color w:val="0000FF"/>
          </w:rPr>
          <w:t>60.1</w:t>
        </w:r>
      </w:hyperlink>
      <w:r>
        <w:t xml:space="preserve"> Кодекса.</w:t>
      </w:r>
    </w:p>
    <w:p w:rsidR="00000000" w:rsidRDefault="00475E1E">
      <w:pPr>
        <w:pStyle w:val="ConsPlusNormal"/>
        <w:spacing w:before="240"/>
        <w:ind w:firstLine="540"/>
        <w:jc w:val="both"/>
      </w:pPr>
      <w:r>
        <w:t xml:space="preserve">Саморегулируемая организация в области строительства, реконструкции, капитального </w:t>
      </w:r>
      <w:r>
        <w:lastRenderedPageBreak/>
        <w:t>ремонта, сноса объектов капиталь</w:t>
      </w:r>
      <w:r>
        <w:t>ного строительства не может нести указанную ответственность по обязательствам своего члена по договору на выполнение инженерных изысканий или архитектурно-строительного проектирования и наоборот.</w:t>
      </w:r>
    </w:p>
    <w:p w:rsidR="00000000" w:rsidRDefault="00475E1E">
      <w:pPr>
        <w:pStyle w:val="ConsPlusNormal"/>
        <w:spacing w:before="240"/>
        <w:ind w:firstLine="540"/>
        <w:jc w:val="both"/>
      </w:pPr>
      <w:r>
        <w:t>Кроме того, ответственность саморегулируемой организации, пр</w:t>
      </w:r>
      <w:r>
        <w:t xml:space="preserve">едусмотренная </w:t>
      </w:r>
      <w:hyperlink r:id="rId20" w:history="1">
        <w:r>
          <w:rPr>
            <w:color w:val="0000FF"/>
          </w:rPr>
          <w:t>статьями 60</w:t>
        </w:r>
      </w:hyperlink>
      <w:r>
        <w:t xml:space="preserve"> и </w:t>
      </w:r>
      <w:hyperlink r:id="rId21" w:history="1">
        <w:r>
          <w:rPr>
            <w:color w:val="0000FF"/>
          </w:rPr>
          <w:t>60.1</w:t>
        </w:r>
      </w:hyperlink>
      <w:r>
        <w:t xml:space="preserve"> Кодекса, вы</w:t>
      </w:r>
      <w:r>
        <w:t xml:space="preserve">текает только из тех договоров подряда, для выполнения работ по которым требуется членство в такой организации. Таким образом, в силу положений </w:t>
      </w:r>
      <w:hyperlink r:id="rId22" w:history="1">
        <w:r>
          <w:rPr>
            <w:color w:val="0000FF"/>
          </w:rPr>
          <w:t>части 4 с</w:t>
        </w:r>
        <w:r>
          <w:rPr>
            <w:color w:val="0000FF"/>
          </w:rPr>
          <w:t>татьи 48</w:t>
        </w:r>
      </w:hyperlink>
      <w:r>
        <w:t xml:space="preserve"> и </w:t>
      </w:r>
      <w:hyperlink r:id="rId23" w:history="1">
        <w:r>
          <w:rPr>
            <w:color w:val="0000FF"/>
          </w:rPr>
          <w:t>части 2 статьи 52</w:t>
        </w:r>
      </w:hyperlink>
      <w:r>
        <w:t xml:space="preserve"> Кодекса саморегулируемая организация не несет ответственность по договорам субподряда.</w:t>
      </w:r>
    </w:p>
    <w:p w:rsidR="00000000" w:rsidRDefault="00475E1E">
      <w:pPr>
        <w:pStyle w:val="ConsPlusNormal"/>
        <w:spacing w:before="240"/>
        <w:ind w:firstLine="540"/>
        <w:jc w:val="both"/>
      </w:pPr>
      <w:r>
        <w:t>С учетом изложенного, в случае,</w:t>
      </w:r>
      <w:r>
        <w:t xml:space="preserve"> если предметом договора подряда является выполнение работ по инженерным изысканиям, подготовке проектной документации и по строительству, реконструкции, капитальному ремонту объектов капитального строительства, индивидуальный предприниматель, юридическое </w:t>
      </w:r>
      <w:r>
        <w:t>лицо должны быть одновременно членом трех саморегулируемых организаций - в области инженерных изысканий, в области архитектурно-строительного проектирования и в области строительства, реконструкции, капитального ремонта, сноса объектов капитального строите</w:t>
      </w:r>
      <w:r>
        <w:t>льства.</w:t>
      </w:r>
    </w:p>
    <w:p w:rsidR="00000000" w:rsidRDefault="00475E1E">
      <w:pPr>
        <w:pStyle w:val="ConsPlusNormal"/>
        <w:spacing w:before="240"/>
        <w:ind w:firstLine="540"/>
        <w:jc w:val="both"/>
      </w:pPr>
      <w:r>
        <w:t>В случае привлечения заказчиком по договору подряда лица, не соответствующего установленным требованиям, возникает риск невозмещения ущерба, причиненного вследствие неисполнения или ненадлежащего исполнения членом саморегулируемой организации обяза</w:t>
      </w:r>
      <w:r>
        <w:t>тельств по договору подряда, а также риск невозможности регрессного требования при причинении вреда вследствие проведения таким лицом соответствующих работ к саморегулируемой организации, членом которой оно является.</w:t>
      </w:r>
    </w:p>
    <w:p w:rsidR="00000000" w:rsidRDefault="00475E1E">
      <w:pPr>
        <w:pStyle w:val="ConsPlusNormal"/>
        <w:spacing w:before="240"/>
        <w:ind w:firstLine="540"/>
        <w:jc w:val="both"/>
      </w:pPr>
      <w:r>
        <w:t xml:space="preserve">Следует обратить внимание на то, что в </w:t>
      </w:r>
      <w:r>
        <w:t xml:space="preserve">соответствии с </w:t>
      </w:r>
      <w:hyperlink r:id="rId24" w:history="1">
        <w:r>
          <w:rPr>
            <w:color w:val="0000FF"/>
          </w:rPr>
          <w:t>пунктом 2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</w:t>
      </w:r>
      <w:r>
        <w:t>денных постановлением Правительства Российской Федерации от 13 августа 1997 г. N 1009, письма федеральных органов исполнительной власти не являются нормативными правовыми актами.</w:t>
      </w:r>
    </w:p>
    <w:p w:rsidR="00000000" w:rsidRDefault="00475E1E">
      <w:pPr>
        <w:pStyle w:val="ConsPlusNormal"/>
        <w:spacing w:before="240"/>
        <w:ind w:firstLine="540"/>
        <w:jc w:val="both"/>
      </w:pPr>
      <w:r>
        <w:t>Письма Минстроя России и его структурных подразделений, в которых разъясняютс</w:t>
      </w:r>
      <w:r>
        <w:t>я вопросы применения нормативных правовых актов, не содержат правовых норм, не направлены на установление, изменение или отмену правовых норм, а содержащиеся в них разъяснения не могут рассматриваться в качестве общеобязательных государственных предписаний</w:t>
      </w:r>
      <w:r>
        <w:t xml:space="preserve"> постоянного или временного характера.</w:t>
      </w:r>
    </w:p>
    <w:p w:rsidR="00000000" w:rsidRDefault="00475E1E">
      <w:pPr>
        <w:pStyle w:val="ConsPlusNormal"/>
        <w:ind w:firstLine="540"/>
        <w:jc w:val="both"/>
      </w:pPr>
    </w:p>
    <w:p w:rsidR="00000000" w:rsidRDefault="00475E1E">
      <w:pPr>
        <w:pStyle w:val="ConsPlusNormal"/>
        <w:jc w:val="right"/>
      </w:pPr>
      <w:r>
        <w:t>Заместитель директора</w:t>
      </w:r>
    </w:p>
    <w:p w:rsidR="00000000" w:rsidRDefault="00475E1E">
      <w:pPr>
        <w:pStyle w:val="ConsPlusNormal"/>
        <w:jc w:val="right"/>
      </w:pPr>
      <w:r>
        <w:t>Правового департамента</w:t>
      </w:r>
    </w:p>
    <w:p w:rsidR="00000000" w:rsidRDefault="00475E1E">
      <w:pPr>
        <w:pStyle w:val="ConsPlusNormal"/>
        <w:jc w:val="right"/>
      </w:pPr>
      <w:r>
        <w:t>Т.Н.БАРМИНА</w:t>
      </w:r>
    </w:p>
    <w:p w:rsidR="00000000" w:rsidRDefault="00475E1E">
      <w:pPr>
        <w:pStyle w:val="ConsPlusNormal"/>
        <w:jc w:val="both"/>
      </w:pPr>
    </w:p>
    <w:p w:rsidR="00000000" w:rsidRDefault="00475E1E">
      <w:pPr>
        <w:pStyle w:val="ConsPlusNormal"/>
        <w:jc w:val="both"/>
      </w:pPr>
    </w:p>
    <w:p w:rsidR="00475E1E" w:rsidRDefault="00475E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75E1E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E1E" w:rsidRDefault="00475E1E">
      <w:pPr>
        <w:spacing w:after="0" w:line="240" w:lineRule="auto"/>
      </w:pPr>
      <w:r>
        <w:separator/>
      </w:r>
    </w:p>
  </w:endnote>
  <w:endnote w:type="continuationSeparator" w:id="0">
    <w:p w:rsidR="00475E1E" w:rsidRDefault="0047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75E1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75E1E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75E1E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75E1E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2B0A71">
            <w:rPr>
              <w:sz w:val="20"/>
              <w:szCs w:val="20"/>
            </w:rPr>
            <w:fldChar w:fldCharType="separate"/>
          </w:r>
          <w:r w:rsidR="002B0A71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2B0A71">
            <w:rPr>
              <w:sz w:val="20"/>
              <w:szCs w:val="20"/>
            </w:rPr>
            <w:fldChar w:fldCharType="separate"/>
          </w:r>
          <w:r w:rsidR="002B0A71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475E1E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75E1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75E1E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75E1E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75E1E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2B0A71">
            <w:rPr>
              <w:sz w:val="20"/>
              <w:szCs w:val="20"/>
            </w:rPr>
            <w:fldChar w:fldCharType="separate"/>
          </w:r>
          <w:r w:rsidR="002B0A71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2B0A71">
            <w:rPr>
              <w:sz w:val="20"/>
              <w:szCs w:val="20"/>
            </w:rPr>
            <w:fldChar w:fldCharType="separate"/>
          </w:r>
          <w:r w:rsidR="002B0A71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475E1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E1E" w:rsidRDefault="00475E1E">
      <w:pPr>
        <w:spacing w:after="0" w:line="240" w:lineRule="auto"/>
      </w:pPr>
      <w:r>
        <w:separator/>
      </w:r>
    </w:p>
  </w:footnote>
  <w:footnote w:type="continuationSeparator" w:id="0">
    <w:p w:rsidR="00475E1E" w:rsidRDefault="0047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75E1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Минстроя России от 10.06.2021 N 24024-ТБ/02</w:t>
          </w:r>
          <w:r>
            <w:rPr>
              <w:sz w:val="16"/>
              <w:szCs w:val="16"/>
            </w:rPr>
            <w:br/>
            <w:t>&lt;Об особенностях исполнения договорных обязательств по договорам о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75E1E">
          <w:pPr>
            <w:pStyle w:val="ConsPlusNormal"/>
            <w:jc w:val="center"/>
          </w:pPr>
        </w:p>
        <w:p w:rsidR="00000000" w:rsidRDefault="00475E1E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75E1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18.08.2021</w:t>
          </w:r>
        </w:p>
      </w:tc>
    </w:tr>
  </w:tbl>
  <w:p w:rsidR="00000000" w:rsidRDefault="00475E1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75E1E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0A71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524000" cy="35814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475E1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Минстроя России от 10.06.2021 N 24024-ТБ/02</w:t>
          </w:r>
          <w:r>
            <w:rPr>
              <w:sz w:val="16"/>
              <w:szCs w:val="16"/>
            </w:rPr>
            <w:br/>
            <w:t>&lt;Об особенностях исполнения договорных обязательств по договорам о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75E1E">
          <w:pPr>
            <w:pStyle w:val="ConsPlusNormal"/>
            <w:jc w:val="center"/>
          </w:pPr>
        </w:p>
        <w:p w:rsidR="00000000" w:rsidRDefault="00475E1E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75E1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18.08.2021</w:t>
          </w:r>
        </w:p>
      </w:tc>
    </w:tr>
  </w:tbl>
  <w:p w:rsidR="00000000" w:rsidRDefault="00475E1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75E1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71"/>
    <w:rsid w:val="002B0A71"/>
    <w:rsid w:val="0047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4984B6-CC2D-4810-8A8C-36F97B0F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327&amp;date=18.08.2021&amp;dst=3048&amp;fld=134" TargetMode="External"/><Relationship Id="rId13" Type="http://schemas.openxmlformats.org/officeDocument/2006/relationships/hyperlink" Target="https://login.consultant.ru/link/?req=doc&amp;base=LAW&amp;n=389327&amp;date=18.08.2021&amp;dst=1683&amp;fld=134" TargetMode="External"/><Relationship Id="rId18" Type="http://schemas.openxmlformats.org/officeDocument/2006/relationships/hyperlink" Target="https://login.consultant.ru/link/?req=doc&amp;base=LAW&amp;n=389327&amp;date=18.08.2021&amp;dst=2835&amp;fld=134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89327&amp;date=18.08.2021&amp;dst=2851&amp;fld=134" TargetMode="External"/><Relationship Id="rId7" Type="http://schemas.openxmlformats.org/officeDocument/2006/relationships/hyperlink" Target="https://login.consultant.ru/link/?req=doc&amp;base=LAW&amp;n=389327&amp;date=18.08.2021&amp;dst=1675&amp;fld=134" TargetMode="External"/><Relationship Id="rId12" Type="http://schemas.openxmlformats.org/officeDocument/2006/relationships/hyperlink" Target="https://login.consultant.ru/link/?req=doc&amp;base=LAW&amp;n=389327&amp;date=18.08.2021&amp;dst=1676&amp;fld=134" TargetMode="External"/><Relationship Id="rId17" Type="http://schemas.openxmlformats.org/officeDocument/2006/relationships/hyperlink" Target="https://login.consultant.ru/link/?req=doc&amp;base=LAW&amp;n=389327&amp;date=18.08.2021&amp;dst=3060&amp;fld=134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9327&amp;date=18.08.2021&amp;dst=3054&amp;fld=134" TargetMode="External"/><Relationship Id="rId20" Type="http://schemas.openxmlformats.org/officeDocument/2006/relationships/hyperlink" Target="https://login.consultant.ru/link/?req=doc&amp;base=LAW&amp;n=389327&amp;date=18.08.2021&amp;dst=2835&amp;fld=13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8534&amp;date=18.08.2021&amp;dst=1165&amp;fld=134" TargetMode="External"/><Relationship Id="rId11" Type="http://schemas.openxmlformats.org/officeDocument/2006/relationships/hyperlink" Target="https://login.consultant.ru/link/?req=doc&amp;base=LAW&amp;n=389327&amp;date=18.08.2021&amp;dst=3060&amp;fld=134" TargetMode="External"/><Relationship Id="rId24" Type="http://schemas.openxmlformats.org/officeDocument/2006/relationships/hyperlink" Target="https://login.consultant.ru/link/?req=doc&amp;base=LAW&amp;n=380337&amp;date=18.08.2021&amp;dst=98&amp;f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89327&amp;date=18.08.2021&amp;dst=1697&amp;fld=134" TargetMode="External"/><Relationship Id="rId23" Type="http://schemas.openxmlformats.org/officeDocument/2006/relationships/hyperlink" Target="https://login.consultant.ru/link/?req=doc&amp;base=LAW&amp;n=389327&amp;date=18.08.2021&amp;dst=1695&amp;fld=134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389327&amp;date=18.08.2021&amp;dst=3054&amp;fld=134" TargetMode="External"/><Relationship Id="rId19" Type="http://schemas.openxmlformats.org/officeDocument/2006/relationships/hyperlink" Target="https://login.consultant.ru/link/?req=doc&amp;base=LAW&amp;n=389327&amp;date=18.08.2021&amp;dst=2851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89327&amp;date=18.08.2021&amp;dst=1695&amp;fld=134" TargetMode="External"/><Relationship Id="rId14" Type="http://schemas.openxmlformats.org/officeDocument/2006/relationships/hyperlink" Target="https://login.consultant.ru/link/?req=doc&amp;base=LAW&amp;n=389327&amp;date=18.08.2021&amp;dst=1696&amp;fld=134" TargetMode="External"/><Relationship Id="rId22" Type="http://schemas.openxmlformats.org/officeDocument/2006/relationships/hyperlink" Target="https://login.consultant.ru/link/?req=doc&amp;base=LAW&amp;n=389327&amp;date=18.08.2021&amp;dst=3048&amp;fld=134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1110</Words>
  <Characters>6329</Characters>
  <Application>Microsoft Office Word</Application>
  <DocSecurity>2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Минстроя России от 10.06.2021 N 24024-ТБ/02&lt;Об особенностях исполнения договорных обязательств по договорам о выполнении инженерных изысканий, о подготовке проектной документации, внесению изменений в проектную документацию, о строительстве, реко</vt:lpstr>
    </vt:vector>
  </TitlesOfParts>
  <Company>КонсультантПлюс Версия 4018.00.50</Company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Минстроя России от 10.06.2021 N 24024-ТБ/02&lt;Об особенностях исполнения договорных обязательств по договорам о выполнении инженерных изысканий, о подготовке проектной документации, внесению изменений в проектную документацию, о строительстве, реко</dc:title>
  <dc:subject/>
  <dc:creator>Анна</dc:creator>
  <cp:keywords/>
  <dc:description/>
  <cp:lastModifiedBy>Анна</cp:lastModifiedBy>
  <cp:revision>2</cp:revision>
  <dcterms:created xsi:type="dcterms:W3CDTF">2021-08-18T11:02:00Z</dcterms:created>
  <dcterms:modified xsi:type="dcterms:W3CDTF">2021-08-18T11:02:00Z</dcterms:modified>
</cp:coreProperties>
</file>