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F153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D00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Минстроя России от 26.10.2022 N 55956-СМ/08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 направлении методических рекомендаций "О реализации главным инженером проекта положений части 3.8 статьи 49 Градостроительного кодекса Российской Федерации в части внесения изменений в проектную документацию"&gt;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D00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18.11.2022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D001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D001C">
      <w:pPr>
        <w:pStyle w:val="ConsPlusNormal"/>
        <w:jc w:val="both"/>
        <w:outlineLvl w:val="0"/>
      </w:pPr>
    </w:p>
    <w:p w:rsidR="00000000" w:rsidRDefault="005D001C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000000" w:rsidRDefault="005D001C">
      <w:pPr>
        <w:pStyle w:val="ConsPlusTitle"/>
        <w:jc w:val="center"/>
      </w:pPr>
      <w:r>
        <w:t>ХОЗЯЙСТВА РОССИЙСКОЙ ФЕДЕРАЦИИ</w:t>
      </w:r>
    </w:p>
    <w:p w:rsidR="00000000" w:rsidRDefault="005D001C">
      <w:pPr>
        <w:pStyle w:val="ConsPlusTitle"/>
        <w:jc w:val="center"/>
      </w:pPr>
    </w:p>
    <w:p w:rsidR="00000000" w:rsidRDefault="005D001C">
      <w:pPr>
        <w:pStyle w:val="ConsPlusTitle"/>
        <w:jc w:val="center"/>
      </w:pPr>
      <w:r>
        <w:t>ПИСЬМО</w:t>
      </w:r>
    </w:p>
    <w:p w:rsidR="00000000" w:rsidRDefault="005D001C">
      <w:pPr>
        <w:pStyle w:val="ConsPlusTitle"/>
        <w:jc w:val="center"/>
      </w:pPr>
      <w:r>
        <w:t>от 26 октября 2022 г. N 55956-СМ/08</w:t>
      </w: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в соответствии с пунктом 9 Изменений, которые вносятся в план мероприятий ("дорожную карту") реализации механизма управления системными изменениями нормативно-правового регул</w:t>
      </w:r>
      <w:r>
        <w:t xml:space="preserve">ирования предпринимательской деятельности "Трансформация делового климата" "Реинжиниринг правил промышленного строительства", утвержденных распоряжением Правительства Российской Федерации от 30 сентября 2022 г. N 2873-р, о разъяснении возможности внесения </w:t>
      </w:r>
      <w:r>
        <w:t>главным инженером проекта изменений в проектную документацию (при условии подтверждения их соответствия обязательным требованиям), выделения отдельных этапов строительства объектов капитального строительства (в том числе нелинейных) без проведения повторно</w:t>
      </w:r>
      <w:r>
        <w:t xml:space="preserve">й экспертизы проектной документации, а также получения разрешения на ввод в эксплуатацию отдельного этапа строительства (в том числе нелинейного объекта), направляет Методические </w:t>
      </w:r>
      <w:hyperlink w:anchor="Par17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"О реализац</w:t>
      </w:r>
      <w:r>
        <w:t>ии главным инженером проекта положений части 3.8 статьи 49 Градостроительного кодекса Российской Федерации в части внесения изменений в проектную документацию" для доведения их содержания до заинтересованных участников строительной отрасли.</w:t>
      </w:r>
    </w:p>
    <w:p w:rsidR="00000000" w:rsidRDefault="005D001C">
      <w:pPr>
        <w:pStyle w:val="ConsPlusNormal"/>
        <w:jc w:val="both"/>
      </w:pPr>
    </w:p>
    <w:p w:rsidR="00000000" w:rsidRDefault="005D001C">
      <w:pPr>
        <w:pStyle w:val="ConsPlusNormal"/>
        <w:jc w:val="right"/>
      </w:pPr>
      <w:r>
        <w:t>С.Г.МУЗЫЧЕНКО</w:t>
      </w: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Normal"/>
        <w:jc w:val="right"/>
        <w:outlineLvl w:val="0"/>
      </w:pPr>
      <w:r>
        <w:t>Приложение</w:t>
      </w:r>
    </w:p>
    <w:p w:rsidR="00000000" w:rsidRDefault="005D001C">
      <w:pPr>
        <w:pStyle w:val="ConsPlusNormal"/>
        <w:ind w:firstLine="540"/>
        <w:jc w:val="both"/>
      </w:pPr>
    </w:p>
    <w:p w:rsidR="00000000" w:rsidRDefault="005D001C">
      <w:pPr>
        <w:pStyle w:val="ConsPlusTitle"/>
        <w:jc w:val="center"/>
      </w:pPr>
      <w:bookmarkStart w:id="1" w:name="Par17"/>
      <w:bookmarkEnd w:id="1"/>
      <w:r>
        <w:t>МЕТОДИЧЕСКИЕ РЕКОМЕНДАЦИИ</w:t>
      </w:r>
    </w:p>
    <w:p w:rsidR="00000000" w:rsidRDefault="005D001C">
      <w:pPr>
        <w:pStyle w:val="ConsPlusTitle"/>
        <w:jc w:val="center"/>
      </w:pPr>
      <w:r>
        <w:t>"О РЕАЛИЗАЦИИ ГЛАВНЫМ ИНЖЕНЕРОМ ПРОЕКТА ПОЛОЖЕНИЙ ЧАСТИ 3.8</w:t>
      </w:r>
    </w:p>
    <w:p w:rsidR="00000000" w:rsidRDefault="005D001C">
      <w:pPr>
        <w:pStyle w:val="ConsPlusTitle"/>
        <w:jc w:val="center"/>
      </w:pPr>
      <w:r>
        <w:t>СТАТЬИ 49 ГРАДОСТРОИТЕЛЬНОГО КОДЕКСА РОССИЙСКОЙ ФЕДЕРАЦИИ</w:t>
      </w:r>
    </w:p>
    <w:p w:rsidR="00000000" w:rsidRDefault="005D001C">
      <w:pPr>
        <w:pStyle w:val="ConsPlusTitle"/>
        <w:jc w:val="center"/>
      </w:pPr>
      <w:r>
        <w:t>В ЧАСТИ ВНЕСЕНИЯ ИЗМЕНЕНИЙ В ПРОЕКТНУЮ ДОКУМЕНТАЦИЮ"</w:t>
      </w:r>
    </w:p>
    <w:p w:rsidR="00000000" w:rsidRDefault="005D001C">
      <w:pPr>
        <w:pStyle w:val="ConsPlusNormal"/>
        <w:jc w:val="both"/>
      </w:pPr>
    </w:p>
    <w:p w:rsidR="00000000" w:rsidRDefault="005D001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 (далее - Кодекс) экспертиза проектной документации по решению застройщика может</w:t>
      </w:r>
      <w:r>
        <w:t xml:space="preserve"> не проводиться в отношении изменений, внесенных в проектную документацию, получившую положительное заключение экспертизы проектной документации, если такие изменения одновременно: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1) не затрагивают несущие строительные конструкции объекта капитального стр</w:t>
      </w:r>
      <w:r>
        <w:t>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2) не влекут за собой изменение класса, категории и (или) первоначально установленных </w:t>
      </w:r>
      <w:r>
        <w:lastRenderedPageBreak/>
        <w:t>показателей функциониров</w:t>
      </w:r>
      <w:r>
        <w:t>ания линейных объектов;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</w:t>
      </w:r>
      <w:r>
        <w:t>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4) соответству</w:t>
      </w:r>
      <w:r>
        <w:t>ют заданию застройщика или технического заказчика на проектирование, а также результатам инженерных изысканий;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5) соответствуют установленной в решении о предоставлении бюджетных ассигнований на осуществление капитальных вложений, принятом в отношении объе</w:t>
      </w:r>
      <w:r>
        <w:t>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</w:t>
      </w:r>
      <w:r>
        <w:t>и.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15.2 статьи 48</w:t>
        </w:r>
      </w:hyperlink>
      <w:r>
        <w:t xml:space="preserve"> Кодекса застройщик, технический заказчик вправе утвердить изменения, внесенные в проектную документацию в соответст</w:t>
      </w:r>
      <w:r>
        <w:t xml:space="preserve">вии с </w:t>
      </w:r>
      <w:hyperlink r:id="rId11" w:history="1">
        <w:r>
          <w:rPr>
            <w:color w:val="0000FF"/>
          </w:rPr>
          <w:t>частью 3.8 статьи 49</w:t>
        </w:r>
      </w:hyperlink>
      <w:r>
        <w:t xml:space="preserve"> Кодекса, при наличии подтверждения соответствия вносимых в проектную документацию изменений требованиям, указанным в </w:t>
      </w:r>
      <w:hyperlink r:id="rId12" w:history="1">
        <w:r>
          <w:rPr>
            <w:color w:val="0000FF"/>
          </w:rPr>
          <w:t>части 3.8 статьи 49</w:t>
        </w:r>
      </w:hyperlink>
      <w:r>
        <w:t xml:space="preserve"> Кодекса (далее - Подтверждение), предоставленного лицом, являющимся членом саморегулируемой организации, основанной на членстве лиц,</w:t>
      </w:r>
      <w:r>
        <w:t xml:space="preserve"> осуществляющих подготовку проектной документации, утвержденного привлеченным этим лицом специалистом по организации архитектурно-строительного проектирования в должности главного инженера проекта (далее - ГИП).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Из изложенного следует, что ГИП вправе утвер</w:t>
      </w:r>
      <w:r>
        <w:t>дить изменения, вносимые в проектную документацию, в том числе в случае, когда такие изменения затрагивают несущие строительные конструкции объекта капитального строительства в части замены отдельных элементов таких конструкций на аналогичные или иные улуч</w:t>
      </w:r>
      <w:r>
        <w:t>шающие показатели таких конструкций элементы.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Все иные изменения, в том числе не предусмотренные </w:t>
      </w:r>
      <w:hyperlink r:id="rId13" w:history="1">
        <w:r>
          <w:rPr>
            <w:color w:val="0000FF"/>
          </w:rPr>
          <w:t>частью 3.8 статьи 49</w:t>
        </w:r>
      </w:hyperlink>
      <w:r>
        <w:t xml:space="preserve"> Кодекса, могут по решению заст</w:t>
      </w:r>
      <w:r>
        <w:t>ройщика или технического заказчика оцениваться в форме экспертного сопровождения органом исполнительной власти или организацией, проводившими экспертизу проектной документации, которые проверят соответствие внесенных в проектную документацию изменений уста</w:t>
      </w:r>
      <w:r>
        <w:t>новленным требованиям (</w:t>
      </w:r>
      <w:hyperlink r:id="rId14" w:history="1">
        <w:r>
          <w:rPr>
            <w:color w:val="0000FF"/>
          </w:rPr>
          <w:t>часть 15.3 статьи 48</w:t>
        </w:r>
      </w:hyperlink>
      <w:r>
        <w:t xml:space="preserve">, </w:t>
      </w:r>
      <w:hyperlink r:id="rId15" w:history="1">
        <w:r>
          <w:rPr>
            <w:color w:val="0000FF"/>
          </w:rPr>
          <w:t>часть 3.9 статьи 49</w:t>
        </w:r>
      </w:hyperlink>
      <w:r>
        <w:t xml:space="preserve"> Кодекса).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Таким образом, </w:t>
      </w:r>
      <w:hyperlink r:id="rId16" w:history="1">
        <w:r>
          <w:rPr>
            <w:color w:val="0000FF"/>
          </w:rPr>
          <w:t>Кодексом</w:t>
        </w:r>
      </w:hyperlink>
      <w:r>
        <w:t xml:space="preserve"> в необходимом и достаточном объеме установлены пределы компетенции ГИПа по вопросу утверждения изменений, вн</w:t>
      </w:r>
      <w:r>
        <w:t>осимых в проектную документацию.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При оценке изменений, внесенных в проектную документацию конкретного объекта капитального строительства, необходимо рассматривать изменения индивидуально с учетом выполнения всех положений (одновременно), установленных </w:t>
      </w:r>
      <w:hyperlink r:id="rId17" w:history="1">
        <w:r>
          <w:rPr>
            <w:color w:val="0000FF"/>
          </w:rPr>
          <w:t>частью 3.8 статьи 49</w:t>
        </w:r>
      </w:hyperlink>
      <w:r>
        <w:t xml:space="preserve"> Кодекса.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В качестве одного из вариантов примера внесения изменений в проектную документацию может являться смещение и/или замена ма</w:t>
      </w:r>
      <w:r>
        <w:t xml:space="preserve">териала перегородок, которые не являются несущими конструкциями и не оказывают влияние на несущую способность объекта. При замене материала </w:t>
      </w:r>
      <w:r>
        <w:lastRenderedPageBreak/>
        <w:t>перегородок необходимо учитывать соблюдение конечных свойств внутренних ограждающих конструкций (например, показател</w:t>
      </w:r>
      <w:r>
        <w:t>ь изоляции от воздушного шума).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Например - внесением изменений в проектную документацию может являться смещение и/или замена материала перегородок, которые не являются несущими конструкциями и не оказывают влияние на несущую способность объекта. При замене</w:t>
      </w:r>
      <w:r>
        <w:t xml:space="preserve"> материала перегородок необходимо учитывать соблюдение конечных свойств внутренних ограждающих конструкций (например, показатель изоляции от воздушного шума). Однако при рассмотрении переноса перегородки в помещении данное изменение требуется рассматривать</w:t>
      </w:r>
      <w:r>
        <w:t xml:space="preserve"> комплексно с учетом всех возможных влияющих факторов и особенностей переноса.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При изменении расположения перегородки может измениться площадь помещения, что, в свою очередь, приведет к нарушению объемно-планировочных требований и, соответственно, может пр</w:t>
      </w:r>
      <w:r>
        <w:t xml:space="preserve">ивести к несоблюдению условий </w:t>
      </w:r>
      <w:hyperlink r:id="rId18" w:history="1">
        <w:r>
          <w:rPr>
            <w:color w:val="0000FF"/>
          </w:rPr>
          <w:t>подпункта 3 части 3.8 статьи 49</w:t>
        </w:r>
      </w:hyperlink>
      <w:r>
        <w:t xml:space="preserve"> Кодекса.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Также, если имеется несколько окон в помещении, надо учитывать, чтобы при пер</w:t>
      </w:r>
      <w:r>
        <w:t xml:space="preserve">еносе перегородки выполнялись санитарные требования по освещенности (сильное снижение степени освещенности влияет на возможность выполнения определенного вида работ), что приводит к невыполнению требований </w:t>
      </w:r>
      <w:hyperlink r:id="rId19" w:history="1">
        <w:r>
          <w:rPr>
            <w:color w:val="0000FF"/>
          </w:rPr>
          <w:t>подпункта 3 пункта 3.8 статьи 49</w:t>
        </w:r>
      </w:hyperlink>
      <w:r>
        <w:t xml:space="preserve"> Кодекса.</w:t>
      </w:r>
    </w:p>
    <w:p w:rsidR="00000000" w:rsidRDefault="005D001C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Частью 12.1 статьи 48</w:t>
        </w:r>
      </w:hyperlink>
      <w:r>
        <w:t xml:space="preserve"> Кодекса установлено, что по</w:t>
      </w:r>
      <w:r>
        <w:t>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 целях </w:t>
      </w:r>
      <w:hyperlink r:id="rId21" w:history="1">
        <w:r>
          <w:rPr>
            <w:color w:val="0000FF"/>
          </w:rPr>
          <w:t>Положения</w:t>
        </w:r>
      </w:hyperlink>
      <w: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 87 под этапом строи</w:t>
      </w:r>
      <w:r>
        <w:t>тельства понимается строительство или реконструкция объекта капитального строительства из числа объектов капитального строительства, планируемых к строительству, реконструкции на одном земельном участке, если такой объект может быть введен в эксплуатацию и</w:t>
      </w:r>
      <w:r>
        <w:t xml:space="preserve"> эксплуатироваться автономно (то есть независимо от строительства или реконструкции иных объектов капитального строительства на этом земельном участке), строительство или реконструкция части объекта капитального строительства, которая может быть введена в </w:t>
      </w:r>
      <w:r>
        <w:t>эксплуатацию и эксплуатироваться автономно (то есть независимо от строительства или реконструкции иных частей этого объекта капитального строительства), а также комплекс работ по подготовке территории строительства, включающий в себя оформление прав владен</w:t>
      </w:r>
      <w:r>
        <w:t xml:space="preserve">ия и пользования земельными участками, необходимыми для размещения объекта капитального строительства (части объекта капитального строительства), снос зданий, строений и сооружений, переустройство (перенос) инженерных коммуникаций, строительство временных </w:t>
      </w:r>
      <w:r>
        <w:t>зданий и сооружений, вырубку леса и другие работы.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Аналогичное (более расширенное в отношении видов объектов капитального строительства) определение этапа строительства или реконструкции дано в </w:t>
      </w:r>
      <w:hyperlink r:id="rId22" w:history="1">
        <w:r>
          <w:rPr>
            <w:color w:val="0000FF"/>
          </w:rPr>
          <w:t>пункте 2</w:t>
        </w:r>
      </w:hyperlink>
      <w:r>
        <w:t xml:space="preserve">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</w:t>
      </w:r>
      <w:r>
        <w:t>рта 2007 г. N 145 (далее - Положение N 145).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пункту 19</w:t>
        </w:r>
      </w:hyperlink>
      <w:r>
        <w:t xml:space="preserve"> Положения N 145 в случае обоснованной возможности строительства, реконструкции объект</w:t>
      </w:r>
      <w:r>
        <w:t xml:space="preserve">а по этапам строительства проектная документация на объект капитального </w:t>
      </w:r>
      <w:r>
        <w:lastRenderedPageBreak/>
        <w:t>строительства представляется применительно к отдельным этапам строительства, реконструкции объекта капитального строительства.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При представлении проектной документации, предполагающей строительство, реконструкцию объекта капитального строительства по этапам строительства, в виде одного комплекта в отношении такой документации заключается один договор на проведение государственной </w:t>
      </w:r>
      <w:r>
        <w:t>экспертизы и подготавливается одно заключение государственной экспертизы, в котором отражается информация об этапах строительства.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В случае представления проектной документации, предполагающей строительство, реконструкцию объекта капитального строительства</w:t>
      </w:r>
      <w:r>
        <w:t xml:space="preserve"> по этапам строительства,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</w:t>
      </w:r>
      <w:r>
        <w:t>в строительства.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 случае внесения изменений в проектную документацию в соответствии с </w:t>
      </w:r>
      <w:hyperlink r:id="rId24" w:history="1">
        <w:r>
          <w:rPr>
            <w:color w:val="0000FF"/>
          </w:rPr>
          <w:t>частью 3.8 статьи 49</w:t>
        </w:r>
      </w:hyperlink>
      <w:r>
        <w:t xml:space="preserve"> Кодекса, одним из документов, прилагаемы</w:t>
      </w:r>
      <w:r>
        <w:t xml:space="preserve">х застройщиком к заявлению о выдаче разрешения на строительство, является подтверждение соответствия вносимых в проектную документацию изменений требованиям, указанным в </w:t>
      </w:r>
      <w:hyperlink r:id="rId25" w:history="1">
        <w:r>
          <w:rPr>
            <w:color w:val="0000FF"/>
          </w:rPr>
          <w:t>части 3.8 статьи 49</w:t>
        </w:r>
      </w:hyperlink>
      <w: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hyperlink r:id="rId26" w:history="1">
        <w:r>
          <w:rPr>
            <w:color w:val="0000FF"/>
          </w:rPr>
          <w:t>Кодексом</w:t>
        </w:r>
      </w:hyperlink>
      <w:r>
        <w:t xml:space="preserve"> специалистом по организации архитектурно-строительного проектирования в должности главного инженера проекта (</w:t>
      </w:r>
      <w:hyperlink r:id="rId27" w:history="1">
        <w:r>
          <w:rPr>
            <w:color w:val="0000FF"/>
          </w:rPr>
          <w:t>пункт 4.2 части 7 статьи 51</w:t>
        </w:r>
      </w:hyperlink>
      <w:r>
        <w:t xml:space="preserve"> Кодекса).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Застройщику или техническому заказчику необходимо принять решение о направлении проектной документации на эксп</w:t>
      </w:r>
      <w:r>
        <w:t>ертизу (в том числе повторную либо экспертное сопровождение) объекта капитального строительства (</w:t>
      </w:r>
      <w:hyperlink r:id="rId28" w:history="1">
        <w:r>
          <w:rPr>
            <w:color w:val="0000FF"/>
          </w:rPr>
          <w:t>часть 15 статьи 48</w:t>
        </w:r>
      </w:hyperlink>
      <w:r>
        <w:t xml:space="preserve"> Кодекса).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частью 7 статьи 51</w:t>
        </w:r>
      </w:hyperlink>
      <w:r>
        <w:t xml:space="preserve"> Кодекса в числе документов, направляемых с заявлением о выдаче разрешения на строительство, застройщик прилагает в том числе положител</w:t>
      </w:r>
      <w:r>
        <w:t xml:space="preserve">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0" w:history="1">
        <w:r>
          <w:rPr>
            <w:color w:val="0000FF"/>
          </w:rPr>
          <w:t>частью 12.1 статьи 48</w:t>
        </w:r>
      </w:hyperlink>
      <w:r>
        <w:t xml:space="preserve"> настоящего Кодекса).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31" w:history="1">
        <w:r>
          <w:rPr>
            <w:color w:val="0000FF"/>
          </w:rPr>
          <w:t>части 12 статьи 51</w:t>
        </w:r>
      </w:hyperlink>
      <w:r>
        <w:t xml:space="preserve"> Кодекса уполномоченные на выдачу разрешений на строительство федера</w:t>
      </w:r>
      <w:r>
        <w:t>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"Росатом" или Государственная корпорация по космической деятельности "Роскосмос" по з</w:t>
      </w:r>
      <w:r>
        <w:t>аявлению застройщика могут выдать разрешение на отдельные этапы строительства, реконструкции.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2" w:history="1">
        <w:r>
          <w:rPr>
            <w:color w:val="0000FF"/>
          </w:rPr>
          <w:t>частью 1.3 статьи 52</w:t>
        </w:r>
      </w:hyperlink>
      <w:r>
        <w:t xml:space="preserve"> Кодекса в случае</w:t>
      </w:r>
      <w:r>
        <w:t xml:space="preserve"> внесения в рабочую документацию изменений, соответствующих требованиям, предусмотренным </w:t>
      </w:r>
      <w:hyperlink r:id="rId33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4" w:history="1">
        <w:r>
          <w:rPr>
            <w:color w:val="0000FF"/>
          </w:rPr>
          <w:t>5 части 3.8 статьи 49</w:t>
        </w:r>
      </w:hyperlink>
      <w:r>
        <w:t xml:space="preserve"> настоящего Кодекса, приведение проектной документации в соответствие с такими изменениями, внесенными в рабочую документацию, не требуется при условии, что такие изменения </w:t>
      </w:r>
      <w:r>
        <w:t xml:space="preserve">в рабочую документацию утверждены застройщиком, техническим заказчиком в порядке, предусмотренном </w:t>
      </w:r>
      <w:hyperlink r:id="rId35" w:history="1">
        <w:r>
          <w:rPr>
            <w:color w:val="0000FF"/>
          </w:rPr>
          <w:t>частью 15 статьи 48</w:t>
        </w:r>
      </w:hyperlink>
      <w:r>
        <w:t xml:space="preserve"> настоящего Кодекса. В этом слу</w:t>
      </w:r>
      <w:r>
        <w:t xml:space="preserve">чае утвержденные застройщиком, техническим заказчиком изменения в рабочую документацию признаются частью проектной </w:t>
      </w:r>
      <w:r>
        <w:lastRenderedPageBreak/>
        <w:t>документации.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Отнесение работ в части выделения этапа строительства, при соблюдении норм, установленных </w:t>
      </w:r>
      <w:hyperlink r:id="rId36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7" w:history="1">
        <w:r>
          <w:rPr>
            <w:color w:val="0000FF"/>
          </w:rPr>
          <w:t>5 части 3.8 статьи 49</w:t>
        </w:r>
      </w:hyperlink>
      <w:r>
        <w:t xml:space="preserve"> Кодекса, может быть также отнесено к преро</w:t>
      </w:r>
      <w:r>
        <w:t>гативе ГИПа.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 случаях, предусмотренных </w:t>
      </w:r>
      <w:hyperlink r:id="rId38" w:history="1">
        <w:r>
          <w:rPr>
            <w:color w:val="0000FF"/>
          </w:rPr>
          <w:t>частью 12 статьи 51</w:t>
        </w:r>
      </w:hyperlink>
      <w:r>
        <w:t xml:space="preserve"> и </w:t>
      </w:r>
      <w:hyperlink r:id="rId39" w:history="1">
        <w:r>
          <w:rPr>
            <w:color w:val="0000FF"/>
          </w:rPr>
          <w:t>частью 3.3 статьи 52</w:t>
        </w:r>
      </w:hyperlink>
      <w:r>
        <w:t xml:space="preserve"> Кодекса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"Росатом" или Государствен</w:t>
      </w:r>
      <w:r>
        <w:t>ная корпорация по космической деятельности "Роскосмос", уполномоченные на выдачу разрешений на ввод объекта в эксплуатацию, выдают указанные разрешения в отношении этапов строительства, реконструкции объектов капитального строительства (</w:t>
      </w:r>
      <w:hyperlink r:id="rId40" w:history="1">
        <w:r>
          <w:rPr>
            <w:color w:val="0000FF"/>
          </w:rPr>
          <w:t>часть 2.1 статьи 55</w:t>
        </w:r>
      </w:hyperlink>
      <w:r>
        <w:t xml:space="preserve"> Кодекса).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1" w:history="1">
        <w:r>
          <w:rPr>
            <w:color w:val="0000FF"/>
          </w:rPr>
          <w:t xml:space="preserve">частью 3.3 </w:t>
        </w:r>
        <w:r>
          <w:rPr>
            <w:color w:val="0000FF"/>
          </w:rPr>
          <w:t>статьи 52</w:t>
        </w:r>
      </w:hyperlink>
      <w:r>
        <w:t xml:space="preserve"> Кодекса по решению застройщика или технического заказчика этапы строительства, реконструкции линейного объекта, иных объектов капитального строительства, входящих в состав линейного объекта, могут быть выделены после получения разрешения на ст</w:t>
      </w:r>
      <w:r>
        <w:t xml:space="preserve">роительство объекта путем внесения изменений в проектную документацию соответствующего объекта в порядке, установленном </w:t>
      </w:r>
      <w:hyperlink r:id="rId42" w:history="1">
        <w:r>
          <w:rPr>
            <w:color w:val="0000FF"/>
          </w:rPr>
          <w:t>Кодексом</w:t>
        </w:r>
      </w:hyperlink>
      <w:r>
        <w:t>.</w:t>
      </w:r>
    </w:p>
    <w:p w:rsidR="00000000" w:rsidRDefault="005D001C">
      <w:pPr>
        <w:pStyle w:val="ConsPlusNormal"/>
        <w:spacing w:before="240"/>
        <w:ind w:firstLine="540"/>
        <w:jc w:val="both"/>
      </w:pPr>
      <w:r>
        <w:t>Таким образом, решение о внесении изм</w:t>
      </w:r>
      <w:r>
        <w:t>енений без предоставления проектной документации на повторную экспертизу должно приниматься застройщиком (техническим заказчиком) по представлению ГИПа исключительно при оценке всего комплекса факторов, влияние которых может повлечь данное изменение, и дол</w:t>
      </w:r>
      <w:r>
        <w:t>жно рассматриваться в каждом отдельном случае индивидуально, включая выдачу на ввод в эксплуатацию разрешения на ввод отдельного этапа строительство объекта капитального строительства.</w:t>
      </w:r>
    </w:p>
    <w:p w:rsidR="00000000" w:rsidRDefault="005D001C">
      <w:pPr>
        <w:pStyle w:val="ConsPlusNormal"/>
        <w:jc w:val="both"/>
      </w:pPr>
    </w:p>
    <w:p w:rsidR="00000000" w:rsidRDefault="005D001C">
      <w:pPr>
        <w:pStyle w:val="ConsPlusNormal"/>
        <w:jc w:val="both"/>
      </w:pPr>
    </w:p>
    <w:p w:rsidR="005D001C" w:rsidRDefault="005D0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001C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1C" w:rsidRDefault="005D001C">
      <w:pPr>
        <w:spacing w:after="0" w:line="240" w:lineRule="auto"/>
      </w:pPr>
      <w:r>
        <w:separator/>
      </w:r>
    </w:p>
  </w:endnote>
  <w:endnote w:type="continuationSeparator" w:id="0">
    <w:p w:rsidR="005D001C" w:rsidRDefault="005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00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001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001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001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15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153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15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1538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D00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1C" w:rsidRDefault="005D001C">
      <w:pPr>
        <w:spacing w:after="0" w:line="240" w:lineRule="auto"/>
      </w:pPr>
      <w:r>
        <w:separator/>
      </w:r>
    </w:p>
  </w:footnote>
  <w:footnote w:type="continuationSeparator" w:id="0">
    <w:p w:rsidR="005D001C" w:rsidRDefault="005D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001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Минстроя России от 26.10.2022 N 55956-СМ/08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методических рекомендаций "О реализаци</w:t>
          </w:r>
          <w:r>
            <w:rPr>
              <w:rFonts w:ascii="Tahoma" w:hAnsi="Tahoma" w:cs="Tahoma"/>
              <w:sz w:val="16"/>
              <w:szCs w:val="16"/>
            </w:rPr>
            <w:t>и главным инже...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001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000000" w:rsidRDefault="005D00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D00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38"/>
    <w:rsid w:val="005D001C"/>
    <w:rsid w:val="005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484DF0-9158-4BBB-B041-698BAB03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ate=18.11.2022&amp;dst=3054&amp;field=134" TargetMode="External"/><Relationship Id="rId18" Type="http://schemas.openxmlformats.org/officeDocument/2006/relationships/hyperlink" Target="https://login.consultant.ru/link/?req=doc&amp;base=LAW&amp;n=407208&amp;date=18.11.2022&amp;dst=3057&amp;field=134" TargetMode="External"/><Relationship Id="rId26" Type="http://schemas.openxmlformats.org/officeDocument/2006/relationships/hyperlink" Target="https://login.consultant.ru/link/?req=doc&amp;base=LAW&amp;n=407208&amp;date=18.11.2022" TargetMode="External"/><Relationship Id="rId39" Type="http://schemas.openxmlformats.org/officeDocument/2006/relationships/hyperlink" Target="https://login.consultant.ru/link/?req=doc&amp;base=LAW&amp;n=407208&amp;date=18.11.2022&amp;dst=102047&amp;field=134" TargetMode="External"/><Relationship Id="rId21" Type="http://schemas.openxmlformats.org/officeDocument/2006/relationships/hyperlink" Target="https://login.consultant.ru/link/?req=doc&amp;base=LAW&amp;n=415510&amp;date=18.11.2022&amp;dst=100019&amp;field=134" TargetMode="External"/><Relationship Id="rId34" Type="http://schemas.openxmlformats.org/officeDocument/2006/relationships/hyperlink" Target="https://login.consultant.ru/link/?req=doc&amp;base=LAW&amp;n=407208&amp;date=18.11.2022&amp;dst=3059&amp;field=134" TargetMode="External"/><Relationship Id="rId42" Type="http://schemas.openxmlformats.org/officeDocument/2006/relationships/hyperlink" Target="https://login.consultant.ru/link/?req=doc&amp;base=LAW&amp;n=407208&amp;date=18.11.2022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208&amp;date=18.11.2022" TargetMode="External"/><Relationship Id="rId29" Type="http://schemas.openxmlformats.org/officeDocument/2006/relationships/hyperlink" Target="https://login.consultant.ru/link/?req=doc&amp;base=LAW&amp;n=407208&amp;date=18.11.2022&amp;dst=390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7208&amp;date=18.11.2022&amp;dst=3054&amp;field=134" TargetMode="External"/><Relationship Id="rId24" Type="http://schemas.openxmlformats.org/officeDocument/2006/relationships/hyperlink" Target="https://login.consultant.ru/link/?req=doc&amp;base=LAW&amp;n=407208&amp;date=18.11.2022&amp;dst=3054&amp;field=134" TargetMode="External"/><Relationship Id="rId32" Type="http://schemas.openxmlformats.org/officeDocument/2006/relationships/hyperlink" Target="https://login.consultant.ru/link/?req=doc&amp;base=LAW&amp;n=407208&amp;date=18.11.2022&amp;dst=3613&amp;field=134" TargetMode="External"/><Relationship Id="rId37" Type="http://schemas.openxmlformats.org/officeDocument/2006/relationships/hyperlink" Target="https://login.consultant.ru/link/?req=doc&amp;base=LAW&amp;n=407208&amp;date=18.11.2022&amp;dst=3059&amp;field=134" TargetMode="External"/><Relationship Id="rId40" Type="http://schemas.openxmlformats.org/officeDocument/2006/relationships/hyperlink" Target="https://login.consultant.ru/link/?req=doc&amp;base=LAW&amp;n=407208&amp;date=18.11.2022&amp;dst=102048&amp;field=13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7208&amp;date=18.11.2022&amp;dst=3060&amp;field=134" TargetMode="External"/><Relationship Id="rId23" Type="http://schemas.openxmlformats.org/officeDocument/2006/relationships/hyperlink" Target="https://login.consultant.ru/link/?req=doc&amp;base=LAW&amp;n=415514&amp;date=18.11.2022&amp;dst=145&amp;field=134" TargetMode="External"/><Relationship Id="rId28" Type="http://schemas.openxmlformats.org/officeDocument/2006/relationships/hyperlink" Target="https://login.consultant.ru/link/?req=doc&amp;base=LAW&amp;n=407208&amp;date=18.11.2022&amp;dst=3049&amp;field=134" TargetMode="External"/><Relationship Id="rId36" Type="http://schemas.openxmlformats.org/officeDocument/2006/relationships/hyperlink" Target="https://login.consultant.ru/link/?req=doc&amp;base=LAW&amp;n=407208&amp;date=18.11.2022&amp;dst=3055&amp;field=134" TargetMode="External"/><Relationship Id="rId10" Type="http://schemas.openxmlformats.org/officeDocument/2006/relationships/hyperlink" Target="https://login.consultant.ru/link/?req=doc&amp;base=LAW&amp;n=407208&amp;date=18.11.2022&amp;dst=3050&amp;field=134" TargetMode="External"/><Relationship Id="rId19" Type="http://schemas.openxmlformats.org/officeDocument/2006/relationships/hyperlink" Target="https://login.consultant.ru/link/?req=doc&amp;base=LAW&amp;n=407208&amp;date=18.11.2022&amp;dst=3057&amp;field=134" TargetMode="External"/><Relationship Id="rId31" Type="http://schemas.openxmlformats.org/officeDocument/2006/relationships/hyperlink" Target="https://login.consultant.ru/link/?req=doc&amp;base=LAW&amp;n=407208&amp;date=18.11.2022&amp;dst=3782&amp;field=13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7208&amp;date=18.11.2022&amp;dst=3054&amp;field=134" TargetMode="External"/><Relationship Id="rId14" Type="http://schemas.openxmlformats.org/officeDocument/2006/relationships/hyperlink" Target="https://login.consultant.ru/link/?req=doc&amp;base=LAW&amp;n=407208&amp;date=18.11.2022&amp;dst=3051&amp;field=134" TargetMode="External"/><Relationship Id="rId22" Type="http://schemas.openxmlformats.org/officeDocument/2006/relationships/hyperlink" Target="https://login.consultant.ru/link/?req=doc&amp;base=LAW&amp;n=415514&amp;date=18.11.2022&amp;dst=380&amp;field=134" TargetMode="External"/><Relationship Id="rId27" Type="http://schemas.openxmlformats.org/officeDocument/2006/relationships/hyperlink" Target="https://login.consultant.ru/link/?req=doc&amp;base=LAW&amp;n=407208&amp;date=18.11.2022&amp;dst=3067&amp;field=134" TargetMode="External"/><Relationship Id="rId30" Type="http://schemas.openxmlformats.org/officeDocument/2006/relationships/hyperlink" Target="https://login.consultant.ru/link/?req=doc&amp;base=LAW&amp;n=407208&amp;date=18.11.2022&amp;dst=448&amp;field=134" TargetMode="External"/><Relationship Id="rId35" Type="http://schemas.openxmlformats.org/officeDocument/2006/relationships/hyperlink" Target="https://login.consultant.ru/link/?req=doc&amp;base=LAW&amp;n=407208&amp;date=18.11.2022&amp;dst=3049&amp;field=134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7208&amp;date=18.11.2022&amp;dst=3054&amp;field=134" TargetMode="External"/><Relationship Id="rId17" Type="http://schemas.openxmlformats.org/officeDocument/2006/relationships/hyperlink" Target="https://login.consultant.ru/link/?req=doc&amp;base=LAW&amp;n=407208&amp;date=18.11.2022&amp;dst=3054&amp;field=134" TargetMode="External"/><Relationship Id="rId25" Type="http://schemas.openxmlformats.org/officeDocument/2006/relationships/hyperlink" Target="https://login.consultant.ru/link/?req=doc&amp;base=LAW&amp;n=407208&amp;date=18.11.2022&amp;dst=3054&amp;field=134" TargetMode="External"/><Relationship Id="rId33" Type="http://schemas.openxmlformats.org/officeDocument/2006/relationships/hyperlink" Target="https://login.consultant.ru/link/?req=doc&amp;base=LAW&amp;n=407208&amp;date=18.11.2022&amp;dst=3055&amp;field=134" TargetMode="External"/><Relationship Id="rId38" Type="http://schemas.openxmlformats.org/officeDocument/2006/relationships/hyperlink" Target="https://login.consultant.ru/link/?req=doc&amp;base=LAW&amp;n=407208&amp;date=18.11.2022&amp;dst=3782&amp;field=13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07208&amp;date=18.11.2022&amp;dst=448&amp;field=134" TargetMode="External"/><Relationship Id="rId41" Type="http://schemas.openxmlformats.org/officeDocument/2006/relationships/hyperlink" Target="https://login.consultant.ru/link/?req=doc&amp;base=LAW&amp;n=407208&amp;date=18.11.2022&amp;dst=10204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2653</Words>
  <Characters>15125</Characters>
  <Application>Microsoft Office Word</Application>
  <DocSecurity>2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Минстроя России от 26.10.2022 N 55956-СМ/08&lt;О направлении методических рекомендаций "О реализации главным инженером проекта положений части 3.8 статьи 49 Градостроительного кодекса Российской Федерации в части внесения изменений в проектную докум</vt:lpstr>
    </vt:vector>
  </TitlesOfParts>
  <Company>КонсультантПлюс Версия 4022.00.09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Минстроя России от 26.10.2022 N 55956-СМ/08&lt;О направлении методических рекомендаций "О реализации главным инженером проекта положений части 3.8 статьи 49 Градостроительного кодекса Российской Федерации в части внесения изменений в проектную докум</dc:title>
  <dc:subject/>
  <dc:creator>Анна</dc:creator>
  <cp:keywords/>
  <dc:description/>
  <cp:lastModifiedBy>Анна</cp:lastModifiedBy>
  <cp:revision>2</cp:revision>
  <dcterms:created xsi:type="dcterms:W3CDTF">2022-11-18T07:03:00Z</dcterms:created>
  <dcterms:modified xsi:type="dcterms:W3CDTF">2022-11-18T07:03:00Z</dcterms:modified>
</cp:coreProperties>
</file>